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3"/>
        <w:gridCol w:w="11782"/>
      </w:tblGrid>
      <w:tr w:rsidR="00053C3F" w14:paraId="231F7AC9" w14:textId="77777777" w:rsidTr="00C1469F">
        <w:tc>
          <w:tcPr>
            <w:tcW w:w="2063" w:type="dxa"/>
            <w:tcBorders>
              <w:top w:val="double" w:sz="4" w:space="0" w:color="auto"/>
              <w:left w:val="double" w:sz="4" w:space="0" w:color="auto"/>
            </w:tcBorders>
          </w:tcPr>
          <w:p w14:paraId="5320E7B4" w14:textId="77777777" w:rsidR="00915184" w:rsidRDefault="00915184" w:rsidP="00586C00">
            <w:pPr>
              <w:jc w:val="both"/>
              <w:rPr>
                <w:rFonts w:cs="Arial"/>
                <w:b/>
              </w:rPr>
            </w:pPr>
            <w:bookmarkStart w:id="0" w:name="_GoBack"/>
            <w:bookmarkEnd w:id="0"/>
          </w:p>
          <w:p w14:paraId="5F036D3B" w14:textId="0B122BA4" w:rsidR="00053C3F" w:rsidRDefault="00053C3F" w:rsidP="00586C00">
            <w:pPr>
              <w:jc w:val="both"/>
              <w:rPr>
                <w:rFonts w:cs="Arial"/>
                <w:b/>
              </w:rPr>
            </w:pPr>
            <w:r>
              <w:rPr>
                <w:rFonts w:cs="Arial"/>
                <w:b/>
              </w:rPr>
              <w:t>Name of Bidder:</w:t>
            </w:r>
          </w:p>
        </w:tc>
        <w:tc>
          <w:tcPr>
            <w:tcW w:w="11782" w:type="dxa"/>
            <w:tcBorders>
              <w:top w:val="double" w:sz="4" w:space="0" w:color="auto"/>
              <w:bottom w:val="single" w:sz="4" w:space="0" w:color="auto"/>
              <w:right w:val="double" w:sz="4" w:space="0" w:color="auto"/>
            </w:tcBorders>
          </w:tcPr>
          <w:p w14:paraId="218269BF" w14:textId="54C8A825" w:rsidR="00053C3F" w:rsidRDefault="00053C3F" w:rsidP="00586C00">
            <w:pPr>
              <w:jc w:val="both"/>
              <w:rPr>
                <w:rFonts w:cs="Arial"/>
                <w:b/>
              </w:rPr>
            </w:pPr>
          </w:p>
        </w:tc>
      </w:tr>
      <w:tr w:rsidR="00915184" w14:paraId="2B4A0DC6" w14:textId="77777777" w:rsidTr="00C1469F">
        <w:tc>
          <w:tcPr>
            <w:tcW w:w="2063" w:type="dxa"/>
            <w:tcBorders>
              <w:left w:val="double" w:sz="4" w:space="0" w:color="auto"/>
            </w:tcBorders>
          </w:tcPr>
          <w:p w14:paraId="76111430" w14:textId="77777777" w:rsidR="00915184" w:rsidRDefault="00915184" w:rsidP="00586C00">
            <w:pPr>
              <w:jc w:val="both"/>
              <w:rPr>
                <w:rFonts w:cs="Arial"/>
                <w:b/>
              </w:rPr>
            </w:pPr>
          </w:p>
        </w:tc>
        <w:tc>
          <w:tcPr>
            <w:tcW w:w="11782" w:type="dxa"/>
            <w:tcBorders>
              <w:top w:val="single" w:sz="4" w:space="0" w:color="auto"/>
              <w:right w:val="double" w:sz="4" w:space="0" w:color="auto"/>
            </w:tcBorders>
          </w:tcPr>
          <w:p w14:paraId="0840715F" w14:textId="77777777" w:rsidR="00915184" w:rsidRDefault="00915184" w:rsidP="00586C00">
            <w:pPr>
              <w:jc w:val="both"/>
              <w:rPr>
                <w:rFonts w:cs="Arial"/>
                <w:b/>
              </w:rPr>
            </w:pPr>
          </w:p>
        </w:tc>
      </w:tr>
      <w:tr w:rsidR="00915184" w14:paraId="51158245" w14:textId="77777777" w:rsidTr="00C1469F">
        <w:tc>
          <w:tcPr>
            <w:tcW w:w="13845" w:type="dxa"/>
            <w:gridSpan w:val="2"/>
            <w:tcBorders>
              <w:left w:val="double" w:sz="4" w:space="0" w:color="auto"/>
              <w:bottom w:val="double" w:sz="4" w:space="0" w:color="auto"/>
              <w:right w:val="double" w:sz="4" w:space="0" w:color="auto"/>
            </w:tcBorders>
          </w:tcPr>
          <w:p w14:paraId="41EA6700" w14:textId="77777777" w:rsidR="00915184" w:rsidRPr="00001C66" w:rsidRDefault="00915184" w:rsidP="00915184">
            <w:pPr>
              <w:jc w:val="both"/>
              <w:rPr>
                <w:rFonts w:cs="Arial"/>
              </w:rPr>
            </w:pPr>
            <w:r w:rsidRPr="00001C66">
              <w:rPr>
                <w:rFonts w:cs="Arial"/>
              </w:rPr>
              <w:t xml:space="preserve">A workplan is completed each year of the project, including the first year in response to the RFP, and must accompany the annual budget. It describes the </w:t>
            </w:r>
            <w:r>
              <w:rPr>
                <w:rFonts w:cs="Arial"/>
              </w:rPr>
              <w:t xml:space="preserve">proposed </w:t>
            </w:r>
            <w:r w:rsidRPr="00001C66">
              <w:rPr>
                <w:rFonts w:cs="Arial"/>
              </w:rPr>
              <w:t xml:space="preserve">activities </w:t>
            </w:r>
            <w:r>
              <w:rPr>
                <w:rFonts w:cs="Arial"/>
              </w:rPr>
              <w:t xml:space="preserve">the bidder </w:t>
            </w:r>
            <w:r w:rsidRPr="00001C66">
              <w:rPr>
                <w:rFonts w:cs="Arial"/>
              </w:rPr>
              <w:t>will engage in to meet the deliverables</w:t>
            </w:r>
            <w:r>
              <w:rPr>
                <w:rFonts w:cs="Arial"/>
              </w:rPr>
              <w:t>, a schedule of implementation of those activities, as well as how the program will progress monitor their work</w:t>
            </w:r>
            <w:r w:rsidRPr="00001C66">
              <w:rPr>
                <w:rFonts w:cs="Arial"/>
              </w:rPr>
              <w:t xml:space="preserve">. </w:t>
            </w:r>
          </w:p>
          <w:p w14:paraId="587E51A7" w14:textId="77777777" w:rsidR="00915184" w:rsidRDefault="00915184" w:rsidP="00915184">
            <w:pPr>
              <w:jc w:val="both"/>
              <w:rPr>
                <w:rFonts w:cs="Arial"/>
              </w:rPr>
            </w:pPr>
          </w:p>
          <w:p w14:paraId="49009D76" w14:textId="21E54F32" w:rsidR="00915184" w:rsidRDefault="00915184" w:rsidP="00915184">
            <w:pPr>
              <w:jc w:val="both"/>
              <w:rPr>
                <w:rFonts w:cs="Arial"/>
              </w:rPr>
            </w:pPr>
            <w:r>
              <w:rPr>
                <w:rFonts w:cs="Arial"/>
              </w:rPr>
              <w:t>Deliverables from the RFP have already been included. Bidders should include relevant information in the tables below.</w:t>
            </w:r>
            <w:r w:rsidR="003B3C9B">
              <w:rPr>
                <w:rFonts w:cs="Arial"/>
              </w:rPr>
              <w:t xml:space="preserve"> Please add/delete rows from the tables as necessary.</w:t>
            </w:r>
          </w:p>
          <w:p w14:paraId="5F6216E7" w14:textId="3065B5EA" w:rsidR="00915184" w:rsidRDefault="00915184" w:rsidP="00915184">
            <w:pPr>
              <w:jc w:val="both"/>
              <w:rPr>
                <w:rFonts w:cs="Arial"/>
                <w:b/>
              </w:rPr>
            </w:pPr>
          </w:p>
        </w:tc>
      </w:tr>
    </w:tbl>
    <w:p w14:paraId="134B567F" w14:textId="6FB1BA49" w:rsidR="00053C3F" w:rsidRDefault="00053C3F" w:rsidP="00586C00">
      <w:pPr>
        <w:jc w:val="both"/>
        <w:rPr>
          <w:rFonts w:cs="Arial"/>
          <w:b/>
        </w:rPr>
      </w:pPr>
    </w:p>
    <w:p w14:paraId="07ED712B" w14:textId="77777777" w:rsidR="00C1469F" w:rsidRPr="00C1469F" w:rsidRDefault="00C1469F" w:rsidP="00D2218D">
      <w:pPr>
        <w:shd w:val="clear" w:color="auto" w:fill="0D0D0D" w:themeFill="text1" w:themeFillTint="F2"/>
        <w:rPr>
          <w:rFonts w:cs="Arial"/>
          <w:b/>
          <w:sz w:val="16"/>
          <w:szCs w:val="16"/>
        </w:rPr>
      </w:pPr>
    </w:p>
    <w:p w14:paraId="10EA5231" w14:textId="747F0BE8" w:rsidR="00220069" w:rsidRDefault="00DA26F4" w:rsidP="00D2218D">
      <w:pPr>
        <w:shd w:val="clear" w:color="auto" w:fill="0D0D0D" w:themeFill="text1" w:themeFillTint="F2"/>
        <w:rPr>
          <w:rFonts w:cs="Arial"/>
          <w:b/>
        </w:rPr>
      </w:pPr>
      <w:r w:rsidRPr="00DA26F4">
        <w:rPr>
          <w:rFonts w:cs="Arial"/>
          <w:b/>
        </w:rPr>
        <w:t>Deliverable 1</w:t>
      </w:r>
      <w:r w:rsidR="00220069">
        <w:rPr>
          <w:rFonts w:cs="Arial"/>
          <w:b/>
        </w:rPr>
        <w:t xml:space="preserve">: </w:t>
      </w:r>
      <w:r w:rsidR="00D230A2">
        <w:rPr>
          <w:rFonts w:cs="Arial"/>
          <w:b/>
        </w:rPr>
        <w:t>Support Regional Teams</w:t>
      </w:r>
    </w:p>
    <w:p w14:paraId="1EB98B1C" w14:textId="77777777" w:rsidR="00C1469F" w:rsidRPr="00C1469F" w:rsidRDefault="00C1469F" w:rsidP="00D2218D">
      <w:pPr>
        <w:shd w:val="clear" w:color="auto" w:fill="0D0D0D" w:themeFill="text1" w:themeFillTint="F2"/>
        <w:rPr>
          <w:rFonts w:cs="Arial"/>
          <w:b/>
          <w:sz w:val="16"/>
          <w:szCs w:val="16"/>
        </w:rPr>
      </w:pPr>
    </w:p>
    <w:p w14:paraId="7EE3AB8D" w14:textId="77777777" w:rsidR="0024709C" w:rsidRPr="003D6CCE" w:rsidRDefault="0024709C" w:rsidP="0024709C">
      <w:pPr>
        <w:pStyle w:val="ListParagraph"/>
        <w:numPr>
          <w:ilvl w:val="1"/>
          <w:numId w:val="7"/>
        </w:numPr>
        <w:ind w:left="900" w:hanging="540"/>
        <w:jc w:val="both"/>
      </w:pPr>
      <w:bookmarkStart w:id="1" w:name="_Hlk496614936"/>
      <w:r w:rsidRPr="003D6CCE">
        <w:t xml:space="preserve">Provide all members of the Regional Partnership </w:t>
      </w:r>
      <w:r>
        <w:t>Centers and FACE Centers</w:t>
      </w:r>
      <w:r w:rsidRPr="003D6CCE">
        <w:t xml:space="preserve"> with a basic understanding of culturally/racially/linguistically </w:t>
      </w:r>
      <w:r>
        <w:t>responsive education</w:t>
      </w:r>
      <w:r w:rsidRPr="003D6CCE">
        <w:t xml:space="preserve"> by: </w:t>
      </w:r>
    </w:p>
    <w:p w14:paraId="7F393136" w14:textId="77777777" w:rsidR="0024709C" w:rsidRPr="008B11F6" w:rsidRDefault="0024709C" w:rsidP="0024709C">
      <w:pPr>
        <w:numPr>
          <w:ilvl w:val="1"/>
          <w:numId w:val="6"/>
        </w:numPr>
        <w:jc w:val="both"/>
      </w:pPr>
      <w:r>
        <w:t>Developing and hosting an i</w:t>
      </w:r>
      <w:r w:rsidRPr="00871B68">
        <w:t xml:space="preserve">ntroductory webinar (recorded and </w:t>
      </w:r>
      <w:r>
        <w:t xml:space="preserve">made </w:t>
      </w:r>
      <w:r w:rsidRPr="00871B68">
        <w:t>available as needed), 1.5 hour</w:t>
      </w:r>
      <w:r>
        <w:t>s</w:t>
      </w:r>
      <w:r w:rsidRPr="00871B68">
        <w:t xml:space="preserve"> </w:t>
      </w:r>
      <w:r>
        <w:t>in length; and</w:t>
      </w:r>
    </w:p>
    <w:p w14:paraId="5021E186" w14:textId="77777777" w:rsidR="0024709C" w:rsidRPr="00871B68" w:rsidRDefault="0024709C" w:rsidP="0024709C">
      <w:pPr>
        <w:numPr>
          <w:ilvl w:val="1"/>
          <w:numId w:val="6"/>
        </w:numPr>
        <w:jc w:val="both"/>
      </w:pPr>
      <w:r w:rsidRPr="00871B68">
        <w:t>Facilitat</w:t>
      </w:r>
      <w:r>
        <w:t>ing</w:t>
      </w:r>
      <w:r w:rsidRPr="00871B68">
        <w:t xml:space="preserve"> monthly </w:t>
      </w:r>
      <w:r>
        <w:t xml:space="preserve">interactive </w:t>
      </w:r>
      <w:r w:rsidRPr="00871B68">
        <w:t>online learning</w:t>
      </w:r>
      <w:r>
        <w:t xml:space="preserve"> opportunities,</w:t>
      </w:r>
      <w:r w:rsidRPr="00871B68">
        <w:t xml:space="preserve"> open to the whole Partnership</w:t>
      </w:r>
      <w:r>
        <w:t>.</w:t>
      </w:r>
    </w:p>
    <w:p w14:paraId="3ED5A3BA" w14:textId="77777777" w:rsidR="0024709C" w:rsidRPr="00871B68" w:rsidRDefault="0024709C" w:rsidP="0024709C">
      <w:pPr>
        <w:pStyle w:val="ListParagraph"/>
        <w:numPr>
          <w:ilvl w:val="1"/>
          <w:numId w:val="7"/>
        </w:numPr>
        <w:ind w:left="900" w:hanging="540"/>
        <w:jc w:val="both"/>
      </w:pPr>
      <w:r>
        <w:t>Annually, plan, develop and deliver</w:t>
      </w:r>
      <w:r w:rsidRPr="00871B68">
        <w:t xml:space="preserve"> webinars</w:t>
      </w:r>
      <w:r>
        <w:t xml:space="preserve"> for members of the Partnership (specific dates will be decided with the PIT):</w:t>
      </w:r>
    </w:p>
    <w:p w14:paraId="24F6EC71" w14:textId="77777777" w:rsidR="0024709C" w:rsidRDefault="0024709C" w:rsidP="0024709C">
      <w:pPr>
        <w:numPr>
          <w:ilvl w:val="1"/>
          <w:numId w:val="6"/>
        </w:numPr>
        <w:jc w:val="both"/>
      </w:pPr>
      <w:r>
        <w:t>The TAP for Equity will be primarily responsible for 7 webinars each year for various specialist groups</w:t>
      </w:r>
    </w:p>
    <w:p w14:paraId="2FD964AC" w14:textId="77777777" w:rsidR="0024709C" w:rsidRDefault="0024709C" w:rsidP="0024709C">
      <w:pPr>
        <w:numPr>
          <w:ilvl w:val="1"/>
          <w:numId w:val="6"/>
        </w:numPr>
        <w:jc w:val="both"/>
      </w:pPr>
      <w:r>
        <w:t>Secondary support for other webinars will be provided, as well (e.g., providing information to enhance another TAP’s webinar).</w:t>
      </w:r>
    </w:p>
    <w:p w14:paraId="41F7E81C" w14:textId="77777777" w:rsidR="0024709C" w:rsidRPr="00871B68" w:rsidRDefault="0024709C" w:rsidP="0024709C">
      <w:pPr>
        <w:pStyle w:val="ListParagraph"/>
        <w:numPr>
          <w:ilvl w:val="1"/>
          <w:numId w:val="7"/>
        </w:numPr>
        <w:ind w:left="900" w:hanging="540"/>
        <w:jc w:val="both"/>
      </w:pPr>
      <w:r>
        <w:t xml:space="preserve">Annually, together with the four other TAPs (Data, Transition, Behavior, and Academics), provide </w:t>
      </w:r>
      <w:r w:rsidRPr="00871B68">
        <w:t xml:space="preserve">up to 20 hours of professional development for new </w:t>
      </w:r>
      <w:r>
        <w:t xml:space="preserve">Regional Partnership Center members </w:t>
      </w:r>
      <w:r w:rsidRPr="00871B68">
        <w:t>upon hire</w:t>
      </w:r>
      <w:r>
        <w:t>. (Note that this does not include members of the FACE Centers.)</w:t>
      </w:r>
    </w:p>
    <w:p w14:paraId="5E905AE7" w14:textId="77777777" w:rsidR="0024709C" w:rsidRPr="00871B68" w:rsidRDefault="0024709C" w:rsidP="0024709C">
      <w:pPr>
        <w:numPr>
          <w:ilvl w:val="1"/>
          <w:numId w:val="6"/>
        </w:numPr>
        <w:jc w:val="both"/>
      </w:pPr>
      <w:r>
        <w:t xml:space="preserve">A needs assessment will be created in coordination with the TAP for Data that will assist in determining the amount of support each new Regional Partnership Center member will receive. </w:t>
      </w:r>
    </w:p>
    <w:p w14:paraId="62FC3CDD" w14:textId="77777777" w:rsidR="0024709C" w:rsidRPr="008D36B5" w:rsidRDefault="0024709C" w:rsidP="0024709C">
      <w:pPr>
        <w:pStyle w:val="ListParagraph"/>
        <w:numPr>
          <w:ilvl w:val="1"/>
          <w:numId w:val="7"/>
        </w:numPr>
        <w:ind w:left="900" w:hanging="540"/>
        <w:jc w:val="both"/>
      </w:pPr>
      <w:r w:rsidRPr="008D36B5">
        <w:t xml:space="preserve">In conjunction with the PIT, plan, facilitate and deliver one 2-day meeting in Albany for the whole Partnership. </w:t>
      </w:r>
    </w:p>
    <w:p w14:paraId="01B7C82D" w14:textId="77777777" w:rsidR="0024709C" w:rsidRPr="008D36B5" w:rsidRDefault="0024709C" w:rsidP="0024709C">
      <w:pPr>
        <w:numPr>
          <w:ilvl w:val="1"/>
          <w:numId w:val="6"/>
        </w:numPr>
        <w:jc w:val="both"/>
      </w:pPr>
      <w:r w:rsidRPr="008D36B5">
        <w:t xml:space="preserve">The 2-day meeting will be conducted each year </w:t>
      </w:r>
      <w:r w:rsidRPr="0032207D">
        <w:t>in Years 2-5.</w:t>
      </w:r>
    </w:p>
    <w:p w14:paraId="02870A51" w14:textId="77777777" w:rsidR="0024709C" w:rsidRPr="0032207D" w:rsidRDefault="0024709C" w:rsidP="0024709C">
      <w:pPr>
        <w:numPr>
          <w:ilvl w:val="1"/>
          <w:numId w:val="6"/>
        </w:numPr>
        <w:jc w:val="both"/>
      </w:pPr>
      <w:r w:rsidRPr="0032207D">
        <w:t xml:space="preserve">The TAP for Equity will be responsible for space costs for approximately </w:t>
      </w:r>
      <w:r>
        <w:t>30</w:t>
      </w:r>
      <w:r w:rsidRPr="0032207D">
        <w:t>0 attendees for this meeting</w:t>
      </w:r>
    </w:p>
    <w:p w14:paraId="11A3801A" w14:textId="77777777" w:rsidR="0024709C" w:rsidRPr="008D36B5" w:rsidRDefault="0024709C" w:rsidP="0024709C">
      <w:pPr>
        <w:pStyle w:val="ListParagraph"/>
        <w:numPr>
          <w:ilvl w:val="1"/>
          <w:numId w:val="7"/>
        </w:numPr>
        <w:ind w:left="900" w:hanging="540"/>
        <w:jc w:val="both"/>
      </w:pPr>
      <w:r w:rsidRPr="008D36B5">
        <w:t xml:space="preserve">Provide fidelity coaching </w:t>
      </w:r>
    </w:p>
    <w:p w14:paraId="4876122C" w14:textId="77777777" w:rsidR="0024709C" w:rsidRPr="005A2A48" w:rsidRDefault="0024709C" w:rsidP="0024709C">
      <w:pPr>
        <w:numPr>
          <w:ilvl w:val="1"/>
          <w:numId w:val="6"/>
        </w:numPr>
        <w:jc w:val="both"/>
      </w:pPr>
      <w:r>
        <w:t>Conduct t</w:t>
      </w:r>
      <w:r w:rsidRPr="00871B68">
        <w:t>hree, 2-day trips</w:t>
      </w:r>
      <w:r>
        <w:t xml:space="preserve"> annually</w:t>
      </w:r>
      <w:r w:rsidRPr="00871B68">
        <w:t xml:space="preserve"> to </w:t>
      </w:r>
      <w:r>
        <w:t xml:space="preserve">each </w:t>
      </w:r>
      <w:r w:rsidRPr="00871B68">
        <w:t xml:space="preserve">region, for coaching, </w:t>
      </w:r>
      <w:r>
        <w:t>professional development</w:t>
      </w:r>
      <w:r w:rsidRPr="00871B68">
        <w:t xml:space="preserve">, problem-solving, observations, feedback, </w:t>
      </w:r>
      <w:r>
        <w:t xml:space="preserve">and </w:t>
      </w:r>
      <w:r w:rsidRPr="00871B68">
        <w:t>direct support</w:t>
      </w:r>
      <w:r>
        <w:t xml:space="preserve"> to the Regional Partnership Team and FACE Center Specialists.</w:t>
      </w:r>
    </w:p>
    <w:p w14:paraId="74A4050E" w14:textId="77777777" w:rsidR="0024709C" w:rsidRPr="00D82EBF" w:rsidRDefault="0024709C" w:rsidP="0024709C">
      <w:pPr>
        <w:numPr>
          <w:ilvl w:val="1"/>
          <w:numId w:val="6"/>
        </w:numPr>
        <w:jc w:val="both"/>
      </w:pPr>
      <w:r>
        <w:t>Be available for additional assistance and consultation through email, web meetings and/or phone calls.</w:t>
      </w:r>
    </w:p>
    <w:p w14:paraId="5362E75D" w14:textId="77777777" w:rsidR="0024709C" w:rsidRPr="00871B68" w:rsidRDefault="0024709C" w:rsidP="0024709C">
      <w:pPr>
        <w:pStyle w:val="ListParagraph"/>
        <w:numPr>
          <w:ilvl w:val="1"/>
          <w:numId w:val="7"/>
        </w:numPr>
        <w:ind w:left="900" w:hanging="540"/>
        <w:jc w:val="both"/>
      </w:pPr>
      <w:r w:rsidRPr="00871B68">
        <w:lastRenderedPageBreak/>
        <w:t xml:space="preserve">In consultation with the </w:t>
      </w:r>
      <w:r>
        <w:t>PIT</w:t>
      </w:r>
      <w:r w:rsidRPr="00871B68">
        <w:t xml:space="preserve"> or the Systems Change Facilitator</w:t>
      </w:r>
      <w:r>
        <w:t>,</w:t>
      </w:r>
      <w:r w:rsidRPr="00871B68">
        <w:t xml:space="preserve"> </w:t>
      </w:r>
      <w:r>
        <w:t xml:space="preserve">each TAP for Equity Associate may </w:t>
      </w:r>
      <w:r w:rsidRPr="00871B68">
        <w:t xml:space="preserve">spend up to 3 additional days per year in each </w:t>
      </w:r>
      <w:r>
        <w:t xml:space="preserve">of the </w:t>
      </w:r>
      <w:r w:rsidRPr="00871B68">
        <w:t>region</w:t>
      </w:r>
      <w:r>
        <w:t>s to which the associate is assigned, as needed,</w:t>
      </w:r>
      <w:r w:rsidRPr="00871B68">
        <w:t xml:space="preserve"> to</w:t>
      </w:r>
      <w:r>
        <w:t xml:space="preserve"> provide additional support which could include targeted coaching and observation or presentations at a regional event.</w:t>
      </w:r>
    </w:p>
    <w:bookmarkEnd w:id="1"/>
    <w:p w14:paraId="567D1817" w14:textId="77777777" w:rsidR="00586C00" w:rsidRDefault="00586C00" w:rsidP="00586C00">
      <w:pPr>
        <w:jc w:val="center"/>
      </w:pPr>
    </w:p>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586C00" w14:paraId="327D21AC" w14:textId="77777777" w:rsidTr="00C1469F">
        <w:tc>
          <w:tcPr>
            <w:tcW w:w="4386" w:type="dxa"/>
            <w:shd w:val="clear" w:color="auto" w:fill="D9D9D9" w:themeFill="background1" w:themeFillShade="D9"/>
          </w:tcPr>
          <w:p w14:paraId="18121C66" w14:textId="77777777" w:rsidR="00586C00" w:rsidRDefault="00586C00" w:rsidP="00586C00">
            <w:pPr>
              <w:jc w:val="center"/>
              <w:rPr>
                <w:b/>
              </w:rPr>
            </w:pPr>
          </w:p>
          <w:p w14:paraId="09D83A11" w14:textId="10309ACC" w:rsidR="00586C00" w:rsidRPr="007E55E8" w:rsidRDefault="00586C00" w:rsidP="00586C00">
            <w:pPr>
              <w:jc w:val="center"/>
              <w:rPr>
                <w:b/>
              </w:rPr>
            </w:pPr>
            <w:r w:rsidRPr="007E55E8">
              <w:rPr>
                <w:b/>
              </w:rPr>
              <w:t>Specifi</w:t>
            </w:r>
            <w:r w:rsidR="00DA26F4">
              <w:rPr>
                <w:b/>
              </w:rPr>
              <w:t>c activities to meet deliverable</w:t>
            </w:r>
          </w:p>
        </w:tc>
        <w:tc>
          <w:tcPr>
            <w:tcW w:w="4386" w:type="dxa"/>
            <w:shd w:val="clear" w:color="auto" w:fill="D9D9D9" w:themeFill="background1" w:themeFillShade="D9"/>
          </w:tcPr>
          <w:p w14:paraId="47385CD1" w14:textId="77777777" w:rsidR="00586C00" w:rsidRDefault="00586C00" w:rsidP="00586C00">
            <w:pPr>
              <w:jc w:val="center"/>
            </w:pPr>
          </w:p>
          <w:p w14:paraId="584D9212" w14:textId="440D4F63" w:rsidR="00586C00" w:rsidRPr="007E55E8" w:rsidRDefault="00586C00" w:rsidP="00586C00">
            <w:pPr>
              <w:jc w:val="center"/>
              <w:rPr>
                <w:b/>
              </w:rPr>
            </w:pPr>
            <w:r w:rsidRPr="007E55E8">
              <w:rPr>
                <w:b/>
              </w:rPr>
              <w:t>Schedule of implementation</w:t>
            </w:r>
          </w:p>
        </w:tc>
        <w:tc>
          <w:tcPr>
            <w:tcW w:w="5073" w:type="dxa"/>
            <w:shd w:val="clear" w:color="auto" w:fill="D9D9D9" w:themeFill="background1" w:themeFillShade="D9"/>
          </w:tcPr>
          <w:p w14:paraId="32E995B4" w14:textId="77777777" w:rsidR="00586C00" w:rsidRDefault="00586C00" w:rsidP="00586C00">
            <w:pPr>
              <w:jc w:val="center"/>
              <w:rPr>
                <w:b/>
              </w:rPr>
            </w:pPr>
          </w:p>
          <w:p w14:paraId="4620FA13" w14:textId="0CAF24DD" w:rsidR="00586C00" w:rsidRPr="007E55E8" w:rsidRDefault="008843E0" w:rsidP="00586C00">
            <w:pPr>
              <w:jc w:val="center"/>
              <w:rPr>
                <w:b/>
              </w:rPr>
            </w:pPr>
            <w:r>
              <w:rPr>
                <w:b/>
              </w:rPr>
              <w:t>Progress monitoring activities</w:t>
            </w:r>
          </w:p>
          <w:p w14:paraId="7A268304" w14:textId="77777777" w:rsidR="00586C00" w:rsidRDefault="00586C00" w:rsidP="00586C00">
            <w:pPr>
              <w:jc w:val="center"/>
            </w:pPr>
          </w:p>
        </w:tc>
      </w:tr>
      <w:tr w:rsidR="00586C00" w14:paraId="35C0AE42" w14:textId="77777777" w:rsidTr="00C1469F">
        <w:tc>
          <w:tcPr>
            <w:tcW w:w="4386" w:type="dxa"/>
          </w:tcPr>
          <w:p w14:paraId="058188A6" w14:textId="152E2BA0" w:rsidR="00586C00" w:rsidRDefault="00586C00" w:rsidP="005B547C"/>
        </w:tc>
        <w:tc>
          <w:tcPr>
            <w:tcW w:w="4386" w:type="dxa"/>
          </w:tcPr>
          <w:p w14:paraId="5563EE84" w14:textId="77777777" w:rsidR="00586C00" w:rsidRDefault="00586C00" w:rsidP="005B547C"/>
        </w:tc>
        <w:tc>
          <w:tcPr>
            <w:tcW w:w="5073" w:type="dxa"/>
          </w:tcPr>
          <w:p w14:paraId="75C23037" w14:textId="77777777" w:rsidR="00586C00" w:rsidRDefault="00586C00" w:rsidP="005B547C"/>
        </w:tc>
      </w:tr>
      <w:tr w:rsidR="00586C00" w14:paraId="54B84370" w14:textId="77777777" w:rsidTr="00C1469F">
        <w:tc>
          <w:tcPr>
            <w:tcW w:w="4386" w:type="dxa"/>
          </w:tcPr>
          <w:p w14:paraId="3BE9F29E" w14:textId="77777777" w:rsidR="00586C00" w:rsidRDefault="00586C00" w:rsidP="005B547C"/>
        </w:tc>
        <w:tc>
          <w:tcPr>
            <w:tcW w:w="4386" w:type="dxa"/>
          </w:tcPr>
          <w:p w14:paraId="190D6CAB" w14:textId="77777777" w:rsidR="00586C00" w:rsidRDefault="00586C00" w:rsidP="005B547C"/>
        </w:tc>
        <w:tc>
          <w:tcPr>
            <w:tcW w:w="5073" w:type="dxa"/>
          </w:tcPr>
          <w:p w14:paraId="330EAAB9" w14:textId="77777777" w:rsidR="00586C00" w:rsidRDefault="00586C00" w:rsidP="005B547C"/>
        </w:tc>
      </w:tr>
      <w:tr w:rsidR="00586C00" w14:paraId="26E3DDC8" w14:textId="77777777" w:rsidTr="00C1469F">
        <w:tc>
          <w:tcPr>
            <w:tcW w:w="4386" w:type="dxa"/>
          </w:tcPr>
          <w:p w14:paraId="3BFFFD6C" w14:textId="77777777" w:rsidR="00586C00" w:rsidRDefault="00586C00" w:rsidP="005B547C"/>
        </w:tc>
        <w:tc>
          <w:tcPr>
            <w:tcW w:w="4386" w:type="dxa"/>
          </w:tcPr>
          <w:p w14:paraId="66A9FAFD" w14:textId="77777777" w:rsidR="00586C00" w:rsidRDefault="00586C00" w:rsidP="005B547C"/>
        </w:tc>
        <w:tc>
          <w:tcPr>
            <w:tcW w:w="5073" w:type="dxa"/>
          </w:tcPr>
          <w:p w14:paraId="220EA530" w14:textId="77777777" w:rsidR="00586C00" w:rsidRDefault="00586C00" w:rsidP="005B547C"/>
        </w:tc>
      </w:tr>
      <w:tr w:rsidR="00586C00" w14:paraId="659F6E8E" w14:textId="77777777" w:rsidTr="00C1469F">
        <w:tc>
          <w:tcPr>
            <w:tcW w:w="4386" w:type="dxa"/>
          </w:tcPr>
          <w:p w14:paraId="0EC0161B" w14:textId="77777777" w:rsidR="00586C00" w:rsidRDefault="00586C00" w:rsidP="005B547C"/>
        </w:tc>
        <w:tc>
          <w:tcPr>
            <w:tcW w:w="4386" w:type="dxa"/>
          </w:tcPr>
          <w:p w14:paraId="7A1CB21E" w14:textId="77777777" w:rsidR="00586C00" w:rsidRDefault="00586C00" w:rsidP="005B547C"/>
        </w:tc>
        <w:tc>
          <w:tcPr>
            <w:tcW w:w="5073" w:type="dxa"/>
          </w:tcPr>
          <w:p w14:paraId="39EA1E76" w14:textId="77777777" w:rsidR="00586C00" w:rsidRDefault="00586C00" w:rsidP="005B547C"/>
        </w:tc>
      </w:tr>
      <w:tr w:rsidR="00586C00" w14:paraId="58E6D4BA" w14:textId="77777777" w:rsidTr="00C1469F">
        <w:tc>
          <w:tcPr>
            <w:tcW w:w="4386" w:type="dxa"/>
          </w:tcPr>
          <w:p w14:paraId="306127B0" w14:textId="77777777" w:rsidR="00586C00" w:rsidRDefault="00586C00" w:rsidP="005B547C"/>
        </w:tc>
        <w:tc>
          <w:tcPr>
            <w:tcW w:w="4386" w:type="dxa"/>
          </w:tcPr>
          <w:p w14:paraId="1A3C4635" w14:textId="77777777" w:rsidR="00586C00" w:rsidRDefault="00586C00" w:rsidP="005B547C"/>
        </w:tc>
        <w:tc>
          <w:tcPr>
            <w:tcW w:w="5073" w:type="dxa"/>
          </w:tcPr>
          <w:p w14:paraId="155E2CBC" w14:textId="77777777" w:rsidR="00586C00" w:rsidRDefault="00586C00" w:rsidP="005B547C"/>
        </w:tc>
      </w:tr>
      <w:tr w:rsidR="00586C00" w14:paraId="13EB50D0" w14:textId="77777777" w:rsidTr="00C1469F">
        <w:tc>
          <w:tcPr>
            <w:tcW w:w="4386" w:type="dxa"/>
          </w:tcPr>
          <w:p w14:paraId="2A7BD8C3" w14:textId="77777777" w:rsidR="00586C00" w:rsidRDefault="00586C00" w:rsidP="005B547C"/>
        </w:tc>
        <w:tc>
          <w:tcPr>
            <w:tcW w:w="4386" w:type="dxa"/>
          </w:tcPr>
          <w:p w14:paraId="6C37679C" w14:textId="77777777" w:rsidR="00586C00" w:rsidRDefault="00586C00" w:rsidP="005B547C"/>
        </w:tc>
        <w:tc>
          <w:tcPr>
            <w:tcW w:w="5073" w:type="dxa"/>
          </w:tcPr>
          <w:p w14:paraId="248EC369" w14:textId="77777777" w:rsidR="00586C00" w:rsidRDefault="00586C00" w:rsidP="005B547C"/>
        </w:tc>
      </w:tr>
      <w:tr w:rsidR="00586C00" w14:paraId="1DA559B1" w14:textId="77777777" w:rsidTr="00C1469F">
        <w:tc>
          <w:tcPr>
            <w:tcW w:w="4386" w:type="dxa"/>
          </w:tcPr>
          <w:p w14:paraId="458801D8" w14:textId="77777777" w:rsidR="00586C00" w:rsidRDefault="00586C00" w:rsidP="005B547C"/>
        </w:tc>
        <w:tc>
          <w:tcPr>
            <w:tcW w:w="4386" w:type="dxa"/>
          </w:tcPr>
          <w:p w14:paraId="0DBBA3D9" w14:textId="77777777" w:rsidR="00586C00" w:rsidRDefault="00586C00" w:rsidP="005B547C"/>
        </w:tc>
        <w:tc>
          <w:tcPr>
            <w:tcW w:w="5073" w:type="dxa"/>
          </w:tcPr>
          <w:p w14:paraId="72897047" w14:textId="77777777" w:rsidR="00586C00" w:rsidRDefault="00586C00" w:rsidP="005B547C"/>
        </w:tc>
      </w:tr>
      <w:tr w:rsidR="00586C00" w14:paraId="3B8B7ADF" w14:textId="77777777" w:rsidTr="00C1469F">
        <w:tc>
          <w:tcPr>
            <w:tcW w:w="4386" w:type="dxa"/>
          </w:tcPr>
          <w:p w14:paraId="6B6EA58D" w14:textId="77777777" w:rsidR="00586C00" w:rsidRDefault="00586C00" w:rsidP="005B547C"/>
        </w:tc>
        <w:tc>
          <w:tcPr>
            <w:tcW w:w="4386" w:type="dxa"/>
          </w:tcPr>
          <w:p w14:paraId="0ED212A7" w14:textId="77777777" w:rsidR="00586C00" w:rsidRDefault="00586C00" w:rsidP="005B547C"/>
        </w:tc>
        <w:tc>
          <w:tcPr>
            <w:tcW w:w="5073" w:type="dxa"/>
          </w:tcPr>
          <w:p w14:paraId="2C225108" w14:textId="77777777" w:rsidR="00586C00" w:rsidRDefault="00586C00" w:rsidP="005B547C"/>
        </w:tc>
      </w:tr>
      <w:tr w:rsidR="00586C00" w14:paraId="3DFB2B2B" w14:textId="77777777" w:rsidTr="00C1469F">
        <w:tc>
          <w:tcPr>
            <w:tcW w:w="4386" w:type="dxa"/>
          </w:tcPr>
          <w:p w14:paraId="70F5841E" w14:textId="77777777" w:rsidR="00586C00" w:rsidRDefault="00586C00" w:rsidP="005B547C"/>
        </w:tc>
        <w:tc>
          <w:tcPr>
            <w:tcW w:w="4386" w:type="dxa"/>
          </w:tcPr>
          <w:p w14:paraId="15DA5B34" w14:textId="77777777" w:rsidR="00586C00" w:rsidRDefault="00586C00" w:rsidP="005B547C"/>
        </w:tc>
        <w:tc>
          <w:tcPr>
            <w:tcW w:w="5073" w:type="dxa"/>
          </w:tcPr>
          <w:p w14:paraId="74E9875F" w14:textId="77777777" w:rsidR="00586C00" w:rsidRDefault="00586C00" w:rsidP="005B547C"/>
        </w:tc>
      </w:tr>
    </w:tbl>
    <w:p w14:paraId="2A6687CA" w14:textId="77777777" w:rsidR="00C1469F" w:rsidRDefault="00C1469F" w:rsidP="00C1469F">
      <w:pPr>
        <w:jc w:val="both"/>
        <w:rPr>
          <w:rFonts w:cs="Arial"/>
          <w:b/>
        </w:rPr>
      </w:pPr>
    </w:p>
    <w:p w14:paraId="3A741564" w14:textId="77777777" w:rsidR="00C1469F" w:rsidRPr="00C1469F" w:rsidRDefault="00C1469F" w:rsidP="00C1469F">
      <w:pPr>
        <w:shd w:val="clear" w:color="auto" w:fill="0D0D0D" w:themeFill="text1" w:themeFillTint="F2"/>
        <w:rPr>
          <w:rFonts w:cs="Arial"/>
          <w:b/>
          <w:sz w:val="16"/>
          <w:szCs w:val="16"/>
        </w:rPr>
      </w:pPr>
    </w:p>
    <w:p w14:paraId="12658256" w14:textId="53CD36A6" w:rsidR="00C1469F" w:rsidRDefault="00C1469F" w:rsidP="00C1469F">
      <w:pPr>
        <w:shd w:val="clear" w:color="auto" w:fill="0D0D0D" w:themeFill="text1" w:themeFillTint="F2"/>
        <w:rPr>
          <w:rFonts w:cs="Arial"/>
          <w:b/>
        </w:rPr>
      </w:pPr>
      <w:r w:rsidRPr="00DA26F4">
        <w:rPr>
          <w:rFonts w:cs="Arial"/>
          <w:b/>
        </w:rPr>
        <w:t xml:space="preserve">Deliverable </w:t>
      </w:r>
      <w:r>
        <w:rPr>
          <w:rFonts w:cs="Arial"/>
          <w:b/>
        </w:rPr>
        <w:t xml:space="preserve">2: </w:t>
      </w:r>
      <w:r w:rsidR="00D230A2">
        <w:rPr>
          <w:rFonts w:cs="Arial"/>
          <w:b/>
        </w:rPr>
        <w:t>Material and Curriculum Development</w:t>
      </w:r>
    </w:p>
    <w:p w14:paraId="79D51DF4" w14:textId="1F1DD5A8" w:rsidR="00DA26F4" w:rsidRPr="00AD3B81" w:rsidRDefault="00DA26F4" w:rsidP="00D2218D">
      <w:pPr>
        <w:shd w:val="clear" w:color="auto" w:fill="0D0D0D" w:themeFill="text1" w:themeFillTint="F2"/>
        <w:rPr>
          <w:b/>
          <w:sz w:val="16"/>
        </w:rPr>
      </w:pPr>
      <w:r w:rsidRPr="00DA26F4">
        <w:rPr>
          <w:rFonts w:cs="Arial"/>
          <w:b/>
        </w:rPr>
        <w:t xml:space="preserve">  </w:t>
      </w:r>
    </w:p>
    <w:p w14:paraId="5666E882" w14:textId="77777777" w:rsidR="0024709C" w:rsidRPr="00D14208" w:rsidRDefault="0024709C" w:rsidP="0024709C">
      <w:pPr>
        <w:ind w:left="360"/>
        <w:jc w:val="both"/>
      </w:pPr>
      <w:r>
        <w:t xml:space="preserve">Develop and/or review materials and </w:t>
      </w:r>
      <w:r w:rsidRPr="00871B68">
        <w:t>revise as necessary</w:t>
      </w:r>
      <w:r>
        <w:t>. Materials</w:t>
      </w:r>
      <w:r w:rsidRPr="00871B68">
        <w:t xml:space="preserve"> </w:t>
      </w:r>
      <w:r>
        <w:t xml:space="preserve">will </w:t>
      </w:r>
      <w:r w:rsidRPr="00871B68">
        <w:t>include</w:t>
      </w:r>
      <w:r>
        <w:t xml:space="preserve"> information for learners at the </w:t>
      </w:r>
      <w:r w:rsidRPr="00871B68">
        <w:t xml:space="preserve">beginner, intermediate, </w:t>
      </w:r>
      <w:r>
        <w:t xml:space="preserve">and </w:t>
      </w:r>
      <w:r w:rsidRPr="00871B68">
        <w:t>advanced</w:t>
      </w:r>
      <w:r>
        <w:t xml:space="preserve"> levels. As appropriate to the content, the materials may consist of full training packages (such as slide decks, handouts, webcasts/other multi-media) or core messages presented in alternative formats (such as infographics, flip charts, webcasts/other multi-media). OSE will have final approval of materials and curricula.</w:t>
      </w:r>
    </w:p>
    <w:p w14:paraId="44F2A48F" w14:textId="0E5A4581" w:rsidR="0024709C" w:rsidRPr="00805517" w:rsidRDefault="0024709C" w:rsidP="0024709C">
      <w:pPr>
        <w:pStyle w:val="ListParagraph"/>
        <w:numPr>
          <w:ilvl w:val="1"/>
          <w:numId w:val="12"/>
        </w:numPr>
        <w:ind w:left="900" w:hanging="540"/>
        <w:jc w:val="both"/>
      </w:pPr>
      <w:r>
        <w:t xml:space="preserve">Develop and/or review materials for the provision of professional development to </w:t>
      </w:r>
      <w:r w:rsidRPr="00871B68">
        <w:t xml:space="preserve">the </w:t>
      </w:r>
      <w:r>
        <w:t>Regional Partnership Centers and FACE Centers.</w:t>
      </w:r>
    </w:p>
    <w:p w14:paraId="2B9FD9EB" w14:textId="77777777" w:rsidR="0024709C" w:rsidRPr="00D575DF" w:rsidRDefault="0024709C" w:rsidP="0024709C">
      <w:pPr>
        <w:pStyle w:val="ListParagraph"/>
        <w:numPr>
          <w:ilvl w:val="1"/>
          <w:numId w:val="12"/>
        </w:numPr>
        <w:ind w:left="900" w:hanging="540"/>
        <w:jc w:val="both"/>
      </w:pPr>
      <w:r w:rsidRPr="00D575DF">
        <w:t>Develop</w:t>
      </w:r>
      <w:r>
        <w:t xml:space="preserve"> and/or review</w:t>
      </w:r>
      <w:r w:rsidRPr="00D575DF">
        <w:t xml:space="preserve"> materials for the provision of professional development to be used by Regional Partnership </w:t>
      </w:r>
      <w:r>
        <w:t>Centers</w:t>
      </w:r>
      <w:r w:rsidRPr="00D575DF">
        <w:t xml:space="preserve"> </w:t>
      </w:r>
      <w:r>
        <w:t xml:space="preserve">and FACE Centers </w:t>
      </w:r>
      <w:r w:rsidRPr="00D575DF">
        <w:t xml:space="preserve">to train stakeholders (families, educators, community providers, etc.). </w:t>
      </w:r>
    </w:p>
    <w:p w14:paraId="2E77C94A" w14:textId="77777777" w:rsidR="0024709C" w:rsidRPr="008506E9" w:rsidRDefault="0024709C" w:rsidP="0024709C">
      <w:pPr>
        <w:pStyle w:val="ListParagraph"/>
        <w:numPr>
          <w:ilvl w:val="1"/>
          <w:numId w:val="12"/>
        </w:numPr>
        <w:ind w:left="900" w:hanging="540"/>
        <w:jc w:val="both"/>
      </w:pPr>
      <w:r w:rsidRPr="008506E9">
        <w:t xml:space="preserve">In conjunction with the </w:t>
      </w:r>
      <w:r>
        <w:t>PIT</w:t>
      </w:r>
      <w:r w:rsidRPr="008506E9">
        <w:t>, create a virtual seminar designed for preservice educators</w:t>
      </w:r>
      <w:r>
        <w:t xml:space="preserve"> on the topic of equity and the instructional needs of students with disabilities who are also English Language Learners/Multilingual Learners. </w:t>
      </w:r>
    </w:p>
    <w:p w14:paraId="4471E935" w14:textId="77777777" w:rsidR="0024709C" w:rsidRPr="00871B68" w:rsidRDefault="0024709C" w:rsidP="0024709C">
      <w:pPr>
        <w:numPr>
          <w:ilvl w:val="1"/>
          <w:numId w:val="6"/>
        </w:numPr>
        <w:jc w:val="both"/>
      </w:pPr>
      <w:r w:rsidRPr="00871B68">
        <w:t xml:space="preserve">In years 1 and 2, work with the </w:t>
      </w:r>
      <w:r>
        <w:t>PIT</w:t>
      </w:r>
      <w:r w:rsidRPr="00871B68">
        <w:t xml:space="preserve"> to determine the logistics of such a seminar (e.g., length, if it can be credit-bearing)</w:t>
      </w:r>
      <w:r>
        <w:t>, as well as the specific content.</w:t>
      </w:r>
    </w:p>
    <w:p w14:paraId="610C8179" w14:textId="6E0AA60F" w:rsidR="0024709C" w:rsidRDefault="0024709C" w:rsidP="0024709C">
      <w:pPr>
        <w:numPr>
          <w:ilvl w:val="1"/>
          <w:numId w:val="6"/>
        </w:numPr>
        <w:jc w:val="both"/>
      </w:pPr>
      <w:r w:rsidRPr="00871B68">
        <w:t>In years 3-5, make the virtual seminar available to the public.</w:t>
      </w:r>
      <w:r>
        <w:t xml:space="preserve"> </w:t>
      </w:r>
      <w:r w:rsidRPr="008506E9">
        <w:t>The seminar will run no more than twice per year</w:t>
      </w:r>
      <w:r>
        <w:t xml:space="preserve"> and will be updated as necessary.</w:t>
      </w:r>
    </w:p>
    <w:p w14:paraId="29917381" w14:textId="77777777" w:rsidR="0024709C" w:rsidRPr="008506E9" w:rsidRDefault="0024709C" w:rsidP="0024709C">
      <w:pPr>
        <w:ind w:left="1440"/>
        <w:jc w:val="both"/>
      </w:pPr>
    </w:p>
    <w:p w14:paraId="7FEB10B3" w14:textId="77777777" w:rsidR="00586C00" w:rsidRPr="00206030" w:rsidRDefault="00586C00" w:rsidP="00586C00"/>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8843E0" w14:paraId="551171EA" w14:textId="77777777" w:rsidTr="00C1469F">
        <w:tc>
          <w:tcPr>
            <w:tcW w:w="4386" w:type="dxa"/>
            <w:shd w:val="clear" w:color="auto" w:fill="D9D9D9" w:themeFill="background1" w:themeFillShade="D9"/>
          </w:tcPr>
          <w:p w14:paraId="6B008338" w14:textId="77777777" w:rsidR="008843E0" w:rsidRDefault="008843E0" w:rsidP="008843E0">
            <w:pPr>
              <w:jc w:val="center"/>
              <w:rPr>
                <w:b/>
              </w:rPr>
            </w:pPr>
          </w:p>
          <w:p w14:paraId="4A1CB8C1" w14:textId="0DB6F269" w:rsidR="008843E0" w:rsidRPr="007E55E8" w:rsidRDefault="008843E0" w:rsidP="008843E0">
            <w:pPr>
              <w:jc w:val="center"/>
              <w:rPr>
                <w:b/>
              </w:rPr>
            </w:pPr>
            <w:r w:rsidRPr="007E55E8">
              <w:rPr>
                <w:b/>
              </w:rPr>
              <w:t>Specifi</w:t>
            </w:r>
            <w:r>
              <w:rPr>
                <w:b/>
              </w:rPr>
              <w:t>c activities to meet deliverable</w:t>
            </w:r>
          </w:p>
        </w:tc>
        <w:tc>
          <w:tcPr>
            <w:tcW w:w="4386" w:type="dxa"/>
            <w:shd w:val="clear" w:color="auto" w:fill="D9D9D9" w:themeFill="background1" w:themeFillShade="D9"/>
          </w:tcPr>
          <w:p w14:paraId="0E1ED302" w14:textId="77777777" w:rsidR="008843E0" w:rsidRDefault="008843E0" w:rsidP="008843E0">
            <w:pPr>
              <w:jc w:val="center"/>
            </w:pPr>
          </w:p>
          <w:p w14:paraId="569946FD" w14:textId="4F91B67D" w:rsidR="008843E0" w:rsidRPr="007E55E8" w:rsidRDefault="008843E0" w:rsidP="008843E0">
            <w:pPr>
              <w:jc w:val="center"/>
              <w:rPr>
                <w:b/>
              </w:rPr>
            </w:pPr>
            <w:r w:rsidRPr="007E55E8">
              <w:rPr>
                <w:b/>
              </w:rPr>
              <w:t>Schedule of implementation</w:t>
            </w:r>
          </w:p>
        </w:tc>
        <w:tc>
          <w:tcPr>
            <w:tcW w:w="5073" w:type="dxa"/>
            <w:shd w:val="clear" w:color="auto" w:fill="D9D9D9" w:themeFill="background1" w:themeFillShade="D9"/>
          </w:tcPr>
          <w:p w14:paraId="2412AD2F" w14:textId="77777777" w:rsidR="008843E0" w:rsidRDefault="008843E0" w:rsidP="008843E0">
            <w:pPr>
              <w:jc w:val="center"/>
              <w:rPr>
                <w:b/>
              </w:rPr>
            </w:pPr>
          </w:p>
          <w:p w14:paraId="7B8A9A65" w14:textId="77777777" w:rsidR="008843E0" w:rsidRPr="007E55E8" w:rsidRDefault="008843E0" w:rsidP="008843E0">
            <w:pPr>
              <w:jc w:val="center"/>
              <w:rPr>
                <w:b/>
              </w:rPr>
            </w:pPr>
            <w:r>
              <w:rPr>
                <w:b/>
              </w:rPr>
              <w:t>Progress monitoring activities</w:t>
            </w:r>
          </w:p>
          <w:p w14:paraId="6DD665EF" w14:textId="77777777" w:rsidR="008843E0" w:rsidRDefault="008843E0" w:rsidP="008843E0">
            <w:pPr>
              <w:jc w:val="center"/>
            </w:pPr>
          </w:p>
        </w:tc>
      </w:tr>
      <w:tr w:rsidR="00586C00" w14:paraId="7A3B6713" w14:textId="77777777" w:rsidTr="00C1469F">
        <w:tc>
          <w:tcPr>
            <w:tcW w:w="4386" w:type="dxa"/>
          </w:tcPr>
          <w:p w14:paraId="194C1406" w14:textId="77777777" w:rsidR="00586C00" w:rsidRDefault="00586C00" w:rsidP="005B547C"/>
        </w:tc>
        <w:tc>
          <w:tcPr>
            <w:tcW w:w="4386" w:type="dxa"/>
          </w:tcPr>
          <w:p w14:paraId="16A8E0E1" w14:textId="77777777" w:rsidR="00586C00" w:rsidRDefault="00586C00" w:rsidP="005B547C"/>
        </w:tc>
        <w:tc>
          <w:tcPr>
            <w:tcW w:w="5073" w:type="dxa"/>
          </w:tcPr>
          <w:p w14:paraId="67C7E224" w14:textId="77777777" w:rsidR="00586C00" w:rsidRDefault="00586C00" w:rsidP="005B547C"/>
        </w:tc>
      </w:tr>
      <w:tr w:rsidR="00586C00" w14:paraId="3973DE56" w14:textId="77777777" w:rsidTr="00C1469F">
        <w:tc>
          <w:tcPr>
            <w:tcW w:w="4386" w:type="dxa"/>
          </w:tcPr>
          <w:p w14:paraId="53EE4899" w14:textId="77777777" w:rsidR="00586C00" w:rsidRDefault="00586C00" w:rsidP="005B547C"/>
        </w:tc>
        <w:tc>
          <w:tcPr>
            <w:tcW w:w="4386" w:type="dxa"/>
          </w:tcPr>
          <w:p w14:paraId="776409CB" w14:textId="77777777" w:rsidR="00586C00" w:rsidRDefault="00586C00" w:rsidP="005B547C"/>
        </w:tc>
        <w:tc>
          <w:tcPr>
            <w:tcW w:w="5073" w:type="dxa"/>
          </w:tcPr>
          <w:p w14:paraId="53D8A662" w14:textId="77777777" w:rsidR="00586C00" w:rsidRDefault="00586C00" w:rsidP="005B547C"/>
        </w:tc>
      </w:tr>
      <w:tr w:rsidR="00586C00" w14:paraId="44030EE6" w14:textId="77777777" w:rsidTr="00C1469F">
        <w:tc>
          <w:tcPr>
            <w:tcW w:w="4386" w:type="dxa"/>
          </w:tcPr>
          <w:p w14:paraId="2D254FD3" w14:textId="77777777" w:rsidR="00586C00" w:rsidRDefault="00586C00" w:rsidP="005B547C"/>
        </w:tc>
        <w:tc>
          <w:tcPr>
            <w:tcW w:w="4386" w:type="dxa"/>
          </w:tcPr>
          <w:p w14:paraId="0B742F8B" w14:textId="77777777" w:rsidR="00586C00" w:rsidRDefault="00586C00" w:rsidP="005B547C"/>
        </w:tc>
        <w:tc>
          <w:tcPr>
            <w:tcW w:w="5073" w:type="dxa"/>
          </w:tcPr>
          <w:p w14:paraId="03508B77" w14:textId="77777777" w:rsidR="00586C00" w:rsidRDefault="00586C00" w:rsidP="005B547C"/>
        </w:tc>
      </w:tr>
      <w:tr w:rsidR="00586C00" w14:paraId="62C92C53" w14:textId="77777777" w:rsidTr="00C1469F">
        <w:tc>
          <w:tcPr>
            <w:tcW w:w="4386" w:type="dxa"/>
          </w:tcPr>
          <w:p w14:paraId="445F7003" w14:textId="77777777" w:rsidR="00586C00" w:rsidRDefault="00586C00" w:rsidP="005B547C"/>
        </w:tc>
        <w:tc>
          <w:tcPr>
            <w:tcW w:w="4386" w:type="dxa"/>
          </w:tcPr>
          <w:p w14:paraId="1C59077F" w14:textId="77777777" w:rsidR="00586C00" w:rsidRDefault="00586C00" w:rsidP="005B547C"/>
        </w:tc>
        <w:tc>
          <w:tcPr>
            <w:tcW w:w="5073" w:type="dxa"/>
          </w:tcPr>
          <w:p w14:paraId="1E8155E6" w14:textId="77777777" w:rsidR="00586C00" w:rsidRDefault="00586C00" w:rsidP="005B547C"/>
        </w:tc>
      </w:tr>
      <w:tr w:rsidR="00586C00" w14:paraId="1818F145" w14:textId="77777777" w:rsidTr="00C1469F">
        <w:tc>
          <w:tcPr>
            <w:tcW w:w="4386" w:type="dxa"/>
          </w:tcPr>
          <w:p w14:paraId="5AB648D6" w14:textId="77777777" w:rsidR="00586C00" w:rsidRDefault="00586C00" w:rsidP="005B547C"/>
        </w:tc>
        <w:tc>
          <w:tcPr>
            <w:tcW w:w="4386" w:type="dxa"/>
          </w:tcPr>
          <w:p w14:paraId="1E152E09" w14:textId="77777777" w:rsidR="00586C00" w:rsidRDefault="00586C00" w:rsidP="005B547C"/>
        </w:tc>
        <w:tc>
          <w:tcPr>
            <w:tcW w:w="5073" w:type="dxa"/>
          </w:tcPr>
          <w:p w14:paraId="2D93BF26" w14:textId="77777777" w:rsidR="00586C00" w:rsidRDefault="00586C00" w:rsidP="005B547C"/>
        </w:tc>
      </w:tr>
      <w:tr w:rsidR="00586C00" w14:paraId="5BD0F852" w14:textId="77777777" w:rsidTr="00C1469F">
        <w:tc>
          <w:tcPr>
            <w:tcW w:w="4386" w:type="dxa"/>
          </w:tcPr>
          <w:p w14:paraId="0FEC9D17" w14:textId="77777777" w:rsidR="00586C00" w:rsidRDefault="00586C00" w:rsidP="005B547C"/>
        </w:tc>
        <w:tc>
          <w:tcPr>
            <w:tcW w:w="4386" w:type="dxa"/>
          </w:tcPr>
          <w:p w14:paraId="0353379A" w14:textId="77777777" w:rsidR="00586C00" w:rsidRDefault="00586C00" w:rsidP="005B547C"/>
        </w:tc>
        <w:tc>
          <w:tcPr>
            <w:tcW w:w="5073" w:type="dxa"/>
          </w:tcPr>
          <w:p w14:paraId="2A88C3EC" w14:textId="77777777" w:rsidR="00586C00" w:rsidRDefault="00586C00" w:rsidP="005B547C"/>
        </w:tc>
      </w:tr>
      <w:tr w:rsidR="00586C00" w14:paraId="5AAB8B3D" w14:textId="77777777" w:rsidTr="00C1469F">
        <w:tc>
          <w:tcPr>
            <w:tcW w:w="4386" w:type="dxa"/>
          </w:tcPr>
          <w:p w14:paraId="7AD34C7C" w14:textId="77777777" w:rsidR="00586C00" w:rsidRDefault="00586C00" w:rsidP="005B547C"/>
        </w:tc>
        <w:tc>
          <w:tcPr>
            <w:tcW w:w="4386" w:type="dxa"/>
          </w:tcPr>
          <w:p w14:paraId="172A2411" w14:textId="77777777" w:rsidR="00586C00" w:rsidRDefault="00586C00" w:rsidP="005B547C"/>
        </w:tc>
        <w:tc>
          <w:tcPr>
            <w:tcW w:w="5073" w:type="dxa"/>
          </w:tcPr>
          <w:p w14:paraId="46B64CC2" w14:textId="77777777" w:rsidR="00586C00" w:rsidRDefault="00586C00" w:rsidP="005B547C"/>
        </w:tc>
      </w:tr>
      <w:tr w:rsidR="00586C00" w14:paraId="77581638" w14:textId="77777777" w:rsidTr="00C1469F">
        <w:tc>
          <w:tcPr>
            <w:tcW w:w="4386" w:type="dxa"/>
          </w:tcPr>
          <w:p w14:paraId="0209780F" w14:textId="77777777" w:rsidR="00586C00" w:rsidRDefault="00586C00" w:rsidP="005B547C"/>
        </w:tc>
        <w:tc>
          <w:tcPr>
            <w:tcW w:w="4386" w:type="dxa"/>
          </w:tcPr>
          <w:p w14:paraId="404F8335" w14:textId="77777777" w:rsidR="00586C00" w:rsidRDefault="00586C00" w:rsidP="005B547C"/>
        </w:tc>
        <w:tc>
          <w:tcPr>
            <w:tcW w:w="5073" w:type="dxa"/>
          </w:tcPr>
          <w:p w14:paraId="45696518" w14:textId="77777777" w:rsidR="00586C00" w:rsidRDefault="00586C00" w:rsidP="005B547C"/>
        </w:tc>
      </w:tr>
      <w:tr w:rsidR="00586C00" w14:paraId="0B221FC4" w14:textId="77777777" w:rsidTr="00C1469F">
        <w:tc>
          <w:tcPr>
            <w:tcW w:w="4386" w:type="dxa"/>
          </w:tcPr>
          <w:p w14:paraId="09594DA5" w14:textId="77777777" w:rsidR="00586C00" w:rsidRDefault="00586C00" w:rsidP="005B547C"/>
        </w:tc>
        <w:tc>
          <w:tcPr>
            <w:tcW w:w="4386" w:type="dxa"/>
          </w:tcPr>
          <w:p w14:paraId="42046A9D" w14:textId="77777777" w:rsidR="00586C00" w:rsidRDefault="00586C00" w:rsidP="005B547C"/>
        </w:tc>
        <w:tc>
          <w:tcPr>
            <w:tcW w:w="5073" w:type="dxa"/>
          </w:tcPr>
          <w:p w14:paraId="3E7AE14D" w14:textId="77777777" w:rsidR="00586C00" w:rsidRDefault="00586C00" w:rsidP="005B547C"/>
        </w:tc>
      </w:tr>
    </w:tbl>
    <w:p w14:paraId="280A0106" w14:textId="603E77E9" w:rsidR="003B3C9B" w:rsidRDefault="003B3C9B" w:rsidP="005B547C">
      <w:pPr>
        <w:rPr>
          <w:rFonts w:cs="Arial"/>
          <w:b/>
        </w:rPr>
      </w:pPr>
    </w:p>
    <w:p w14:paraId="0797D444" w14:textId="77777777" w:rsidR="00AD3B81" w:rsidRPr="00AD3B81" w:rsidRDefault="00AD3B81" w:rsidP="00D230A2">
      <w:pPr>
        <w:shd w:val="clear" w:color="auto" w:fill="0D0D0D" w:themeFill="text1" w:themeFillTint="F2"/>
        <w:rPr>
          <w:rFonts w:cs="Arial"/>
          <w:b/>
          <w:sz w:val="16"/>
        </w:rPr>
      </w:pPr>
    </w:p>
    <w:p w14:paraId="0B63BF1E" w14:textId="426A6B01" w:rsidR="00D230A2" w:rsidRDefault="00D230A2" w:rsidP="00D230A2">
      <w:pPr>
        <w:shd w:val="clear" w:color="auto" w:fill="0D0D0D" w:themeFill="text1" w:themeFillTint="F2"/>
        <w:rPr>
          <w:rFonts w:cs="Arial"/>
          <w:b/>
        </w:rPr>
      </w:pPr>
      <w:r w:rsidRPr="00DA26F4">
        <w:rPr>
          <w:rFonts w:cs="Arial"/>
          <w:b/>
        </w:rPr>
        <w:t xml:space="preserve">Deliverable </w:t>
      </w:r>
      <w:r>
        <w:rPr>
          <w:rFonts w:cs="Arial"/>
          <w:b/>
        </w:rPr>
        <w:t>3: Coordination with other TAPs and NYSED</w:t>
      </w:r>
    </w:p>
    <w:p w14:paraId="0CA79C45" w14:textId="77777777" w:rsidR="00D230A2" w:rsidRPr="00AD3B81" w:rsidRDefault="00D230A2" w:rsidP="00D230A2">
      <w:pPr>
        <w:shd w:val="clear" w:color="auto" w:fill="0D0D0D" w:themeFill="text1" w:themeFillTint="F2"/>
        <w:rPr>
          <w:b/>
          <w:sz w:val="16"/>
        </w:rPr>
      </w:pPr>
      <w:r w:rsidRPr="00DA26F4">
        <w:rPr>
          <w:rFonts w:cs="Arial"/>
          <w:b/>
        </w:rPr>
        <w:t xml:space="preserve">  </w:t>
      </w:r>
    </w:p>
    <w:p w14:paraId="36CF90C5" w14:textId="13C772FA" w:rsidR="0024709C" w:rsidRPr="00871B68" w:rsidRDefault="0024709C" w:rsidP="0024709C">
      <w:pPr>
        <w:pStyle w:val="ListParagraph"/>
        <w:numPr>
          <w:ilvl w:val="1"/>
          <w:numId w:val="13"/>
        </w:numPr>
        <w:ind w:left="900" w:hanging="540"/>
        <w:jc w:val="both"/>
      </w:pPr>
      <w:bookmarkStart w:id="2" w:name="_Hlk496618433"/>
      <w:r w:rsidRPr="00871B68">
        <w:t xml:space="preserve">Serve as a member of the State Level Team. </w:t>
      </w:r>
      <w:r>
        <w:t>The TAP director must annually attend</w:t>
      </w:r>
      <w:r w:rsidRPr="00871B68">
        <w:t xml:space="preserve"> 3 </w:t>
      </w:r>
      <w:r>
        <w:t>one-</w:t>
      </w:r>
      <w:r w:rsidRPr="00871B68">
        <w:t xml:space="preserve">day meetings </w:t>
      </w:r>
      <w:r>
        <w:t xml:space="preserve">of the State Level Team </w:t>
      </w:r>
      <w:r w:rsidRPr="00871B68">
        <w:t xml:space="preserve">in Albany. </w:t>
      </w:r>
    </w:p>
    <w:p w14:paraId="53F19508" w14:textId="4381CC9E" w:rsidR="0024709C" w:rsidRPr="00871B68" w:rsidRDefault="0024709C" w:rsidP="0024709C">
      <w:pPr>
        <w:pStyle w:val="ListParagraph"/>
        <w:numPr>
          <w:ilvl w:val="1"/>
          <w:numId w:val="13"/>
        </w:numPr>
        <w:ind w:left="900" w:hanging="540"/>
        <w:jc w:val="both"/>
      </w:pPr>
      <w:r w:rsidRPr="00871B68">
        <w:t xml:space="preserve">Serve as a member of the </w:t>
      </w:r>
      <w:r>
        <w:t>PIT</w:t>
      </w:r>
      <w:r w:rsidRPr="00871B68">
        <w:t xml:space="preserve">.  </w:t>
      </w:r>
      <w:r>
        <w:t xml:space="preserve">The TAP director must annually attend: </w:t>
      </w:r>
    </w:p>
    <w:p w14:paraId="75EF27F9" w14:textId="77777777" w:rsidR="0024709C" w:rsidRPr="00871B68" w:rsidRDefault="0024709C" w:rsidP="0024709C">
      <w:pPr>
        <w:numPr>
          <w:ilvl w:val="1"/>
          <w:numId w:val="6"/>
        </w:numPr>
        <w:jc w:val="both"/>
      </w:pPr>
      <w:r w:rsidRPr="00871B68">
        <w:t>4 virtual meetings</w:t>
      </w:r>
    </w:p>
    <w:p w14:paraId="72DD7404" w14:textId="77777777" w:rsidR="0024709C" w:rsidRPr="00871B68" w:rsidRDefault="0024709C" w:rsidP="0024709C">
      <w:pPr>
        <w:numPr>
          <w:ilvl w:val="1"/>
          <w:numId w:val="6"/>
        </w:numPr>
        <w:jc w:val="both"/>
      </w:pPr>
      <w:r w:rsidRPr="00871B68">
        <w:t xml:space="preserve">3 </w:t>
      </w:r>
      <w:r>
        <w:t>one-</w:t>
      </w:r>
      <w:r w:rsidRPr="00871B68">
        <w:t xml:space="preserve">day meetings in Albany </w:t>
      </w:r>
    </w:p>
    <w:p w14:paraId="34B8A155" w14:textId="77777777" w:rsidR="0024709C" w:rsidRPr="00871B68" w:rsidRDefault="0024709C" w:rsidP="0024709C">
      <w:pPr>
        <w:numPr>
          <w:ilvl w:val="1"/>
          <w:numId w:val="6"/>
        </w:numPr>
        <w:jc w:val="both"/>
      </w:pPr>
      <w:r w:rsidRPr="00871B68">
        <w:t xml:space="preserve">1 Regional planning meeting, which is a two-day event in Albany in </w:t>
      </w:r>
      <w:r>
        <w:t xml:space="preserve">the </w:t>
      </w:r>
      <w:r w:rsidRPr="00871B68">
        <w:t xml:space="preserve">Spring </w:t>
      </w:r>
    </w:p>
    <w:p w14:paraId="2A1218AA" w14:textId="77777777" w:rsidR="0024709C" w:rsidRPr="00871B68" w:rsidRDefault="0024709C" w:rsidP="0024709C">
      <w:pPr>
        <w:pStyle w:val="ListParagraph"/>
        <w:numPr>
          <w:ilvl w:val="1"/>
          <w:numId w:val="13"/>
        </w:numPr>
        <w:ind w:left="900" w:hanging="540"/>
        <w:jc w:val="both"/>
      </w:pPr>
      <w:r w:rsidRPr="00871B68">
        <w:t xml:space="preserve">Serve as a member of the Regional Level Team. </w:t>
      </w:r>
      <w:r>
        <w:t xml:space="preserve">TAP for Equity Associates must annually attend </w:t>
      </w:r>
      <w:r w:rsidRPr="00871B68">
        <w:t xml:space="preserve">3 </w:t>
      </w:r>
      <w:r>
        <w:t>one</w:t>
      </w:r>
      <w:r w:rsidRPr="00871B68">
        <w:t xml:space="preserve">-day meetings in </w:t>
      </w:r>
      <w:r>
        <w:t xml:space="preserve">each of their assigned </w:t>
      </w:r>
      <w:r w:rsidRPr="00871B68">
        <w:t>region</w:t>
      </w:r>
      <w:r>
        <w:t>s</w:t>
      </w:r>
      <w:r w:rsidRPr="00871B68">
        <w:t xml:space="preserve">. </w:t>
      </w:r>
    </w:p>
    <w:p w14:paraId="134902FC" w14:textId="77777777" w:rsidR="0024709C" w:rsidRDefault="0024709C" w:rsidP="0024709C">
      <w:pPr>
        <w:pStyle w:val="ListParagraph"/>
        <w:numPr>
          <w:ilvl w:val="1"/>
          <w:numId w:val="13"/>
        </w:numPr>
        <w:ind w:left="900" w:hanging="540"/>
        <w:jc w:val="both"/>
      </w:pPr>
      <w:r w:rsidRPr="00871B68">
        <w:t xml:space="preserve">Attend </w:t>
      </w:r>
      <w:r>
        <w:t xml:space="preserve">one, one-day meeting per year hosted by NYSED as requested by OSE (for example, </w:t>
      </w:r>
      <w:r w:rsidRPr="00871B68">
        <w:t>Commissioner’s Advisory Panel</w:t>
      </w:r>
      <w:r>
        <w:t>, Youth Advisory Panel, etc.)</w:t>
      </w:r>
      <w:r w:rsidRPr="00871B68">
        <w:t xml:space="preserve">. </w:t>
      </w:r>
      <w:bookmarkStart w:id="3" w:name="_Hlk497392589"/>
    </w:p>
    <w:p w14:paraId="73042D20" w14:textId="77777777" w:rsidR="0024709C" w:rsidRPr="008F1AFF" w:rsidRDefault="0024709C" w:rsidP="0024709C">
      <w:pPr>
        <w:pStyle w:val="ListParagraph"/>
        <w:numPr>
          <w:ilvl w:val="1"/>
          <w:numId w:val="13"/>
        </w:numPr>
        <w:ind w:left="900" w:hanging="540"/>
        <w:jc w:val="both"/>
      </w:pPr>
      <w:r>
        <w:t xml:space="preserve">Participate in virtual meetings to discuss the Partnership website. </w:t>
      </w:r>
    </w:p>
    <w:bookmarkEnd w:id="2"/>
    <w:bookmarkEnd w:id="3"/>
    <w:p w14:paraId="1522C9A7" w14:textId="77777777" w:rsidR="00D230A2" w:rsidRPr="00206030" w:rsidRDefault="00D230A2" w:rsidP="00D230A2"/>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D230A2" w14:paraId="12C0C04B" w14:textId="77777777" w:rsidTr="00F80A95">
        <w:tc>
          <w:tcPr>
            <w:tcW w:w="4386" w:type="dxa"/>
            <w:shd w:val="clear" w:color="auto" w:fill="D9D9D9" w:themeFill="background1" w:themeFillShade="D9"/>
          </w:tcPr>
          <w:p w14:paraId="729EC330" w14:textId="77777777" w:rsidR="00D230A2" w:rsidRDefault="00D230A2" w:rsidP="00F80A95">
            <w:pPr>
              <w:jc w:val="center"/>
              <w:rPr>
                <w:b/>
              </w:rPr>
            </w:pPr>
          </w:p>
          <w:p w14:paraId="4FB2F921" w14:textId="77777777" w:rsidR="00D230A2" w:rsidRPr="007E55E8" w:rsidRDefault="00D230A2" w:rsidP="00F80A95">
            <w:pPr>
              <w:jc w:val="center"/>
              <w:rPr>
                <w:b/>
              </w:rPr>
            </w:pPr>
            <w:r w:rsidRPr="007E55E8">
              <w:rPr>
                <w:b/>
              </w:rPr>
              <w:t>Specifi</w:t>
            </w:r>
            <w:r>
              <w:rPr>
                <w:b/>
              </w:rPr>
              <w:t>c activities to meet deliverable</w:t>
            </w:r>
          </w:p>
        </w:tc>
        <w:tc>
          <w:tcPr>
            <w:tcW w:w="4386" w:type="dxa"/>
            <w:shd w:val="clear" w:color="auto" w:fill="D9D9D9" w:themeFill="background1" w:themeFillShade="D9"/>
          </w:tcPr>
          <w:p w14:paraId="200C4806" w14:textId="77777777" w:rsidR="00D230A2" w:rsidRDefault="00D230A2" w:rsidP="00F80A95">
            <w:pPr>
              <w:jc w:val="center"/>
            </w:pPr>
          </w:p>
          <w:p w14:paraId="1233CA46" w14:textId="77777777" w:rsidR="00D230A2" w:rsidRPr="007E55E8" w:rsidRDefault="00D230A2" w:rsidP="00F80A95">
            <w:pPr>
              <w:jc w:val="center"/>
              <w:rPr>
                <w:b/>
              </w:rPr>
            </w:pPr>
            <w:r w:rsidRPr="007E55E8">
              <w:rPr>
                <w:b/>
              </w:rPr>
              <w:t>Schedule of implementation</w:t>
            </w:r>
          </w:p>
        </w:tc>
        <w:tc>
          <w:tcPr>
            <w:tcW w:w="5073" w:type="dxa"/>
            <w:shd w:val="clear" w:color="auto" w:fill="D9D9D9" w:themeFill="background1" w:themeFillShade="D9"/>
          </w:tcPr>
          <w:p w14:paraId="67E3ACD4" w14:textId="77777777" w:rsidR="00D230A2" w:rsidRDefault="00D230A2" w:rsidP="00F80A95">
            <w:pPr>
              <w:jc w:val="center"/>
              <w:rPr>
                <w:b/>
              </w:rPr>
            </w:pPr>
          </w:p>
          <w:p w14:paraId="246A3335" w14:textId="77777777" w:rsidR="00D230A2" w:rsidRPr="007E55E8" w:rsidRDefault="00D230A2" w:rsidP="00F80A95">
            <w:pPr>
              <w:jc w:val="center"/>
              <w:rPr>
                <w:b/>
              </w:rPr>
            </w:pPr>
            <w:r>
              <w:rPr>
                <w:b/>
              </w:rPr>
              <w:t>Progress monitoring activities</w:t>
            </w:r>
          </w:p>
          <w:p w14:paraId="193B4B34" w14:textId="77777777" w:rsidR="00D230A2" w:rsidRDefault="00D230A2" w:rsidP="00F80A95">
            <w:pPr>
              <w:jc w:val="center"/>
            </w:pPr>
          </w:p>
        </w:tc>
      </w:tr>
      <w:tr w:rsidR="00D230A2" w14:paraId="292089D5" w14:textId="77777777" w:rsidTr="00F80A95">
        <w:tc>
          <w:tcPr>
            <w:tcW w:w="4386" w:type="dxa"/>
          </w:tcPr>
          <w:p w14:paraId="079DABC8" w14:textId="77777777" w:rsidR="00D230A2" w:rsidRDefault="00D230A2" w:rsidP="00F80A95"/>
        </w:tc>
        <w:tc>
          <w:tcPr>
            <w:tcW w:w="4386" w:type="dxa"/>
          </w:tcPr>
          <w:p w14:paraId="46D3C36A" w14:textId="77777777" w:rsidR="00D230A2" w:rsidRDefault="00D230A2" w:rsidP="00F80A95"/>
        </w:tc>
        <w:tc>
          <w:tcPr>
            <w:tcW w:w="5073" w:type="dxa"/>
          </w:tcPr>
          <w:p w14:paraId="44FC9658" w14:textId="77777777" w:rsidR="00D230A2" w:rsidRDefault="00D230A2" w:rsidP="00F80A95"/>
        </w:tc>
      </w:tr>
      <w:tr w:rsidR="00D230A2" w14:paraId="46DE2EA8" w14:textId="77777777" w:rsidTr="00F80A95">
        <w:tc>
          <w:tcPr>
            <w:tcW w:w="4386" w:type="dxa"/>
          </w:tcPr>
          <w:p w14:paraId="60547E61" w14:textId="77777777" w:rsidR="00D230A2" w:rsidRDefault="00D230A2" w:rsidP="00F80A95"/>
        </w:tc>
        <w:tc>
          <w:tcPr>
            <w:tcW w:w="4386" w:type="dxa"/>
          </w:tcPr>
          <w:p w14:paraId="24812C73" w14:textId="77777777" w:rsidR="00D230A2" w:rsidRDefault="00D230A2" w:rsidP="00F80A95"/>
        </w:tc>
        <w:tc>
          <w:tcPr>
            <w:tcW w:w="5073" w:type="dxa"/>
          </w:tcPr>
          <w:p w14:paraId="0A93101F" w14:textId="77777777" w:rsidR="00D230A2" w:rsidRDefault="00D230A2" w:rsidP="00F80A95"/>
        </w:tc>
      </w:tr>
      <w:tr w:rsidR="00D230A2" w14:paraId="17DA1227" w14:textId="77777777" w:rsidTr="00F80A95">
        <w:tc>
          <w:tcPr>
            <w:tcW w:w="4386" w:type="dxa"/>
          </w:tcPr>
          <w:p w14:paraId="54B0C21D" w14:textId="77777777" w:rsidR="00D230A2" w:rsidRDefault="00D230A2" w:rsidP="00F80A95"/>
        </w:tc>
        <w:tc>
          <w:tcPr>
            <w:tcW w:w="4386" w:type="dxa"/>
          </w:tcPr>
          <w:p w14:paraId="1C13BFA2" w14:textId="77777777" w:rsidR="00D230A2" w:rsidRDefault="00D230A2" w:rsidP="00F80A95"/>
        </w:tc>
        <w:tc>
          <w:tcPr>
            <w:tcW w:w="5073" w:type="dxa"/>
          </w:tcPr>
          <w:p w14:paraId="3CAB6F50" w14:textId="77777777" w:rsidR="00D230A2" w:rsidRDefault="00D230A2" w:rsidP="00F80A95"/>
        </w:tc>
      </w:tr>
      <w:tr w:rsidR="00D230A2" w14:paraId="0381C552" w14:textId="77777777" w:rsidTr="00F80A95">
        <w:tc>
          <w:tcPr>
            <w:tcW w:w="4386" w:type="dxa"/>
          </w:tcPr>
          <w:p w14:paraId="23F71D97" w14:textId="77777777" w:rsidR="00D230A2" w:rsidRDefault="00D230A2" w:rsidP="00F80A95"/>
        </w:tc>
        <w:tc>
          <w:tcPr>
            <w:tcW w:w="4386" w:type="dxa"/>
          </w:tcPr>
          <w:p w14:paraId="5A36DEE7" w14:textId="77777777" w:rsidR="00D230A2" w:rsidRDefault="00D230A2" w:rsidP="00F80A95"/>
        </w:tc>
        <w:tc>
          <w:tcPr>
            <w:tcW w:w="5073" w:type="dxa"/>
          </w:tcPr>
          <w:p w14:paraId="061234D7" w14:textId="77777777" w:rsidR="00D230A2" w:rsidRDefault="00D230A2" w:rsidP="00F80A95"/>
        </w:tc>
      </w:tr>
      <w:tr w:rsidR="00D230A2" w14:paraId="60E078CA" w14:textId="77777777" w:rsidTr="00F80A95">
        <w:tc>
          <w:tcPr>
            <w:tcW w:w="4386" w:type="dxa"/>
          </w:tcPr>
          <w:p w14:paraId="247B8A85" w14:textId="77777777" w:rsidR="00D230A2" w:rsidRDefault="00D230A2" w:rsidP="00F80A95"/>
        </w:tc>
        <w:tc>
          <w:tcPr>
            <w:tcW w:w="4386" w:type="dxa"/>
          </w:tcPr>
          <w:p w14:paraId="327DDED8" w14:textId="77777777" w:rsidR="00D230A2" w:rsidRDefault="00D230A2" w:rsidP="00F80A95"/>
        </w:tc>
        <w:tc>
          <w:tcPr>
            <w:tcW w:w="5073" w:type="dxa"/>
          </w:tcPr>
          <w:p w14:paraId="21DAC5BC" w14:textId="77777777" w:rsidR="00D230A2" w:rsidRDefault="00D230A2" w:rsidP="00F80A95"/>
        </w:tc>
      </w:tr>
      <w:tr w:rsidR="00D230A2" w14:paraId="55EA0ED4" w14:textId="77777777" w:rsidTr="00F80A95">
        <w:tc>
          <w:tcPr>
            <w:tcW w:w="4386" w:type="dxa"/>
          </w:tcPr>
          <w:p w14:paraId="1E86BFC4" w14:textId="77777777" w:rsidR="00D230A2" w:rsidRDefault="00D230A2" w:rsidP="00F80A95"/>
        </w:tc>
        <w:tc>
          <w:tcPr>
            <w:tcW w:w="4386" w:type="dxa"/>
          </w:tcPr>
          <w:p w14:paraId="327788A3" w14:textId="77777777" w:rsidR="00D230A2" w:rsidRDefault="00D230A2" w:rsidP="00F80A95"/>
        </w:tc>
        <w:tc>
          <w:tcPr>
            <w:tcW w:w="5073" w:type="dxa"/>
          </w:tcPr>
          <w:p w14:paraId="2EC1A52A" w14:textId="77777777" w:rsidR="00D230A2" w:rsidRDefault="00D230A2" w:rsidP="00F80A95"/>
        </w:tc>
      </w:tr>
      <w:tr w:rsidR="00D230A2" w14:paraId="1802CD51" w14:textId="77777777" w:rsidTr="00F80A95">
        <w:tc>
          <w:tcPr>
            <w:tcW w:w="4386" w:type="dxa"/>
          </w:tcPr>
          <w:p w14:paraId="0F47BB4D" w14:textId="77777777" w:rsidR="00D230A2" w:rsidRDefault="00D230A2" w:rsidP="00F80A95"/>
        </w:tc>
        <w:tc>
          <w:tcPr>
            <w:tcW w:w="4386" w:type="dxa"/>
          </w:tcPr>
          <w:p w14:paraId="4DE93C1C" w14:textId="77777777" w:rsidR="00D230A2" w:rsidRDefault="00D230A2" w:rsidP="00F80A95"/>
        </w:tc>
        <w:tc>
          <w:tcPr>
            <w:tcW w:w="5073" w:type="dxa"/>
          </w:tcPr>
          <w:p w14:paraId="07B3CE6D" w14:textId="77777777" w:rsidR="00D230A2" w:rsidRDefault="00D230A2" w:rsidP="00F80A95"/>
        </w:tc>
      </w:tr>
      <w:tr w:rsidR="00D230A2" w14:paraId="7365AFC1" w14:textId="77777777" w:rsidTr="00F80A95">
        <w:tc>
          <w:tcPr>
            <w:tcW w:w="4386" w:type="dxa"/>
          </w:tcPr>
          <w:p w14:paraId="3E8B6C3A" w14:textId="77777777" w:rsidR="00D230A2" w:rsidRDefault="00D230A2" w:rsidP="00F80A95"/>
        </w:tc>
        <w:tc>
          <w:tcPr>
            <w:tcW w:w="4386" w:type="dxa"/>
          </w:tcPr>
          <w:p w14:paraId="05C3B1B5" w14:textId="77777777" w:rsidR="00D230A2" w:rsidRDefault="00D230A2" w:rsidP="00F80A95"/>
        </w:tc>
        <w:tc>
          <w:tcPr>
            <w:tcW w:w="5073" w:type="dxa"/>
          </w:tcPr>
          <w:p w14:paraId="3F852EEA" w14:textId="77777777" w:rsidR="00D230A2" w:rsidRDefault="00D230A2" w:rsidP="00F80A95"/>
        </w:tc>
      </w:tr>
      <w:tr w:rsidR="00D230A2" w14:paraId="2EF1C32E" w14:textId="77777777" w:rsidTr="00F80A95">
        <w:tc>
          <w:tcPr>
            <w:tcW w:w="4386" w:type="dxa"/>
          </w:tcPr>
          <w:p w14:paraId="1F147CC5" w14:textId="77777777" w:rsidR="00D230A2" w:rsidRDefault="00D230A2" w:rsidP="00F80A95"/>
        </w:tc>
        <w:tc>
          <w:tcPr>
            <w:tcW w:w="4386" w:type="dxa"/>
          </w:tcPr>
          <w:p w14:paraId="70035C91" w14:textId="77777777" w:rsidR="00D230A2" w:rsidRDefault="00D230A2" w:rsidP="00F80A95"/>
        </w:tc>
        <w:tc>
          <w:tcPr>
            <w:tcW w:w="5073" w:type="dxa"/>
          </w:tcPr>
          <w:p w14:paraId="4C03200F" w14:textId="77777777" w:rsidR="00D230A2" w:rsidRDefault="00D230A2" w:rsidP="00F80A95"/>
        </w:tc>
      </w:tr>
    </w:tbl>
    <w:p w14:paraId="578B05A0" w14:textId="0BD98C7D" w:rsidR="00D230A2" w:rsidRDefault="00D230A2" w:rsidP="005B547C">
      <w:pPr>
        <w:rPr>
          <w:rFonts w:cs="Arial"/>
          <w:b/>
        </w:rPr>
      </w:pPr>
    </w:p>
    <w:p w14:paraId="137FCCAB" w14:textId="77777777" w:rsidR="00AD3B81" w:rsidRPr="00AD3B81" w:rsidRDefault="00AD3B81" w:rsidP="00D230A2">
      <w:pPr>
        <w:shd w:val="clear" w:color="auto" w:fill="0D0D0D" w:themeFill="text1" w:themeFillTint="F2"/>
        <w:rPr>
          <w:rFonts w:cs="Arial"/>
          <w:b/>
          <w:sz w:val="16"/>
        </w:rPr>
      </w:pPr>
    </w:p>
    <w:p w14:paraId="7CFF04CF" w14:textId="66B6F271" w:rsidR="00D230A2" w:rsidRDefault="00D230A2" w:rsidP="00D230A2">
      <w:pPr>
        <w:shd w:val="clear" w:color="auto" w:fill="0D0D0D" w:themeFill="text1" w:themeFillTint="F2"/>
        <w:rPr>
          <w:rFonts w:cs="Arial"/>
          <w:b/>
        </w:rPr>
      </w:pPr>
      <w:r w:rsidRPr="00DA26F4">
        <w:rPr>
          <w:rFonts w:cs="Arial"/>
          <w:b/>
        </w:rPr>
        <w:t xml:space="preserve">Deliverable </w:t>
      </w:r>
      <w:r>
        <w:rPr>
          <w:rFonts w:cs="Arial"/>
          <w:b/>
        </w:rPr>
        <w:t>4: Developing Expertise</w:t>
      </w:r>
    </w:p>
    <w:p w14:paraId="5E6866D1" w14:textId="77777777" w:rsidR="00D230A2" w:rsidRPr="00AD3B81" w:rsidRDefault="00D230A2" w:rsidP="00D230A2">
      <w:pPr>
        <w:shd w:val="clear" w:color="auto" w:fill="0D0D0D" w:themeFill="text1" w:themeFillTint="F2"/>
        <w:rPr>
          <w:b/>
          <w:sz w:val="16"/>
        </w:rPr>
      </w:pPr>
      <w:r w:rsidRPr="00DA26F4">
        <w:rPr>
          <w:rFonts w:cs="Arial"/>
          <w:b/>
        </w:rPr>
        <w:t xml:space="preserve">  </w:t>
      </w:r>
    </w:p>
    <w:p w14:paraId="49FF74F9" w14:textId="15ED1787" w:rsidR="006171A7" w:rsidRPr="00871B68" w:rsidRDefault="006171A7" w:rsidP="006171A7">
      <w:pPr>
        <w:pStyle w:val="ListParagraph"/>
        <w:numPr>
          <w:ilvl w:val="1"/>
          <w:numId w:val="14"/>
        </w:numPr>
        <w:ind w:left="900" w:hanging="540"/>
        <w:jc w:val="both"/>
      </w:pPr>
      <w:r>
        <w:t xml:space="preserve">Each </w:t>
      </w:r>
      <w:r w:rsidRPr="00871B68">
        <w:t>TA</w:t>
      </w:r>
      <w:r>
        <w:t>P for Equity</w:t>
      </w:r>
      <w:r w:rsidRPr="00871B68">
        <w:t xml:space="preserve"> staff </w:t>
      </w:r>
      <w:r>
        <w:t xml:space="preserve">member </w:t>
      </w:r>
      <w:r w:rsidRPr="00871B68">
        <w:t xml:space="preserve">may attend </w:t>
      </w:r>
      <w:r>
        <w:t xml:space="preserve">one </w:t>
      </w:r>
      <w:r w:rsidRPr="00871B68">
        <w:t>national conference per year</w:t>
      </w:r>
      <w:r>
        <w:t>, subject to OSE prior</w:t>
      </w:r>
      <w:r w:rsidRPr="00871B68">
        <w:t xml:space="preserve"> </w:t>
      </w:r>
      <w:r>
        <w:t xml:space="preserve">approval. </w:t>
      </w:r>
      <w:r w:rsidRPr="00871B68">
        <w:t xml:space="preserve">Preference should be given to those conferences sponsored by a </w:t>
      </w:r>
      <w:hyperlink r:id="rId7" w:history="1">
        <w:r w:rsidRPr="008A3A32">
          <w:rPr>
            <w:rStyle w:val="Hyperlink"/>
          </w:rPr>
          <w:t>federally funded technical assistance center</w:t>
        </w:r>
      </w:hyperlink>
      <w:r w:rsidRPr="00871B68">
        <w:t xml:space="preserve">. </w:t>
      </w:r>
    </w:p>
    <w:p w14:paraId="68375689" w14:textId="77777777" w:rsidR="006171A7" w:rsidRPr="00871B68" w:rsidRDefault="006171A7" w:rsidP="006171A7">
      <w:pPr>
        <w:numPr>
          <w:ilvl w:val="1"/>
          <w:numId w:val="6"/>
        </w:numPr>
        <w:jc w:val="both"/>
      </w:pPr>
      <w:r w:rsidRPr="00871B68">
        <w:t>If national conferences aren’t available, participation in webinars/distance learning</w:t>
      </w:r>
      <w:r>
        <w:t xml:space="preserve"> related to Partnership content</w:t>
      </w:r>
      <w:r w:rsidRPr="00871B68">
        <w:t xml:space="preserve"> is expected.</w:t>
      </w:r>
    </w:p>
    <w:p w14:paraId="2DFFBD0F" w14:textId="213ED6C4" w:rsidR="006171A7" w:rsidRPr="00871B68" w:rsidRDefault="006171A7" w:rsidP="006171A7">
      <w:pPr>
        <w:pStyle w:val="ListParagraph"/>
        <w:numPr>
          <w:ilvl w:val="1"/>
          <w:numId w:val="14"/>
        </w:numPr>
        <w:ind w:left="900" w:hanging="540"/>
        <w:jc w:val="both"/>
      </w:pPr>
      <w:r w:rsidRPr="00871B68">
        <w:t xml:space="preserve">In consultation with the </w:t>
      </w:r>
      <w:r>
        <w:t>PIT</w:t>
      </w:r>
      <w:r w:rsidRPr="00871B68">
        <w:t xml:space="preserve">, fund up to one subject matter expert </w:t>
      </w:r>
      <w:r>
        <w:t xml:space="preserve">for up to two days </w:t>
      </w:r>
      <w:r w:rsidRPr="00871B68">
        <w:t xml:space="preserve">per year as appropriate to support the vision/mission of the Partnership. </w:t>
      </w:r>
    </w:p>
    <w:p w14:paraId="4704A285" w14:textId="77777777" w:rsidR="006171A7" w:rsidRPr="00871B68" w:rsidRDefault="006171A7" w:rsidP="006171A7">
      <w:pPr>
        <w:pStyle w:val="ListParagraph"/>
        <w:numPr>
          <w:ilvl w:val="1"/>
          <w:numId w:val="14"/>
        </w:numPr>
        <w:ind w:left="900" w:hanging="540"/>
        <w:jc w:val="both"/>
      </w:pPr>
      <w:r>
        <w:t>Annually, p</w:t>
      </w:r>
      <w:r w:rsidRPr="00871B68">
        <w:t xml:space="preserve">lan for funding one subject matter expert to present on a webinar. </w:t>
      </w:r>
    </w:p>
    <w:p w14:paraId="663D563C" w14:textId="77777777" w:rsidR="00D230A2" w:rsidRPr="00206030" w:rsidRDefault="00D230A2" w:rsidP="00D230A2"/>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D230A2" w14:paraId="5E5573BC" w14:textId="77777777" w:rsidTr="00F80A95">
        <w:tc>
          <w:tcPr>
            <w:tcW w:w="4386" w:type="dxa"/>
            <w:shd w:val="clear" w:color="auto" w:fill="D9D9D9" w:themeFill="background1" w:themeFillShade="D9"/>
          </w:tcPr>
          <w:p w14:paraId="5A2234BB" w14:textId="77777777" w:rsidR="00D230A2" w:rsidRDefault="00D230A2" w:rsidP="00F80A95">
            <w:pPr>
              <w:jc w:val="center"/>
              <w:rPr>
                <w:b/>
              </w:rPr>
            </w:pPr>
          </w:p>
          <w:p w14:paraId="6D4DCA37" w14:textId="77777777" w:rsidR="00D230A2" w:rsidRPr="007E55E8" w:rsidRDefault="00D230A2" w:rsidP="00F80A95">
            <w:pPr>
              <w:jc w:val="center"/>
              <w:rPr>
                <w:b/>
              </w:rPr>
            </w:pPr>
            <w:r w:rsidRPr="007E55E8">
              <w:rPr>
                <w:b/>
              </w:rPr>
              <w:t>Specifi</w:t>
            </w:r>
            <w:r>
              <w:rPr>
                <w:b/>
              </w:rPr>
              <w:t>c activities to meet deliverable</w:t>
            </w:r>
          </w:p>
        </w:tc>
        <w:tc>
          <w:tcPr>
            <w:tcW w:w="4386" w:type="dxa"/>
            <w:shd w:val="clear" w:color="auto" w:fill="D9D9D9" w:themeFill="background1" w:themeFillShade="D9"/>
          </w:tcPr>
          <w:p w14:paraId="5C53897A" w14:textId="77777777" w:rsidR="00D230A2" w:rsidRDefault="00D230A2" w:rsidP="00F80A95">
            <w:pPr>
              <w:jc w:val="center"/>
            </w:pPr>
          </w:p>
          <w:p w14:paraId="0BCE03EF" w14:textId="77777777" w:rsidR="00D230A2" w:rsidRPr="007E55E8" w:rsidRDefault="00D230A2" w:rsidP="00F80A95">
            <w:pPr>
              <w:jc w:val="center"/>
              <w:rPr>
                <w:b/>
              </w:rPr>
            </w:pPr>
            <w:r w:rsidRPr="007E55E8">
              <w:rPr>
                <w:b/>
              </w:rPr>
              <w:t>Schedule of implementation</w:t>
            </w:r>
          </w:p>
        </w:tc>
        <w:tc>
          <w:tcPr>
            <w:tcW w:w="5073" w:type="dxa"/>
            <w:shd w:val="clear" w:color="auto" w:fill="D9D9D9" w:themeFill="background1" w:themeFillShade="D9"/>
          </w:tcPr>
          <w:p w14:paraId="7979AFE7" w14:textId="77777777" w:rsidR="00D230A2" w:rsidRDefault="00D230A2" w:rsidP="00F80A95">
            <w:pPr>
              <w:jc w:val="center"/>
              <w:rPr>
                <w:b/>
              </w:rPr>
            </w:pPr>
          </w:p>
          <w:p w14:paraId="4C5E2714" w14:textId="77777777" w:rsidR="00D230A2" w:rsidRPr="007E55E8" w:rsidRDefault="00D230A2" w:rsidP="00F80A95">
            <w:pPr>
              <w:jc w:val="center"/>
              <w:rPr>
                <w:b/>
              </w:rPr>
            </w:pPr>
            <w:r>
              <w:rPr>
                <w:b/>
              </w:rPr>
              <w:t>Progress monitoring activities</w:t>
            </w:r>
          </w:p>
          <w:p w14:paraId="530E1556" w14:textId="77777777" w:rsidR="00D230A2" w:rsidRDefault="00D230A2" w:rsidP="00F80A95">
            <w:pPr>
              <w:jc w:val="center"/>
            </w:pPr>
          </w:p>
        </w:tc>
      </w:tr>
      <w:tr w:rsidR="00D230A2" w14:paraId="3D93B27C" w14:textId="77777777" w:rsidTr="00F80A95">
        <w:tc>
          <w:tcPr>
            <w:tcW w:w="4386" w:type="dxa"/>
          </w:tcPr>
          <w:p w14:paraId="0F45D7EE" w14:textId="77777777" w:rsidR="00D230A2" w:rsidRDefault="00D230A2" w:rsidP="00F80A95"/>
        </w:tc>
        <w:tc>
          <w:tcPr>
            <w:tcW w:w="4386" w:type="dxa"/>
          </w:tcPr>
          <w:p w14:paraId="057976C5" w14:textId="77777777" w:rsidR="00D230A2" w:rsidRDefault="00D230A2" w:rsidP="00F80A95"/>
        </w:tc>
        <w:tc>
          <w:tcPr>
            <w:tcW w:w="5073" w:type="dxa"/>
          </w:tcPr>
          <w:p w14:paraId="1FCE049D" w14:textId="77777777" w:rsidR="00D230A2" w:rsidRDefault="00D230A2" w:rsidP="00F80A95"/>
        </w:tc>
      </w:tr>
      <w:tr w:rsidR="00D230A2" w14:paraId="0A491335" w14:textId="77777777" w:rsidTr="00F80A95">
        <w:tc>
          <w:tcPr>
            <w:tcW w:w="4386" w:type="dxa"/>
          </w:tcPr>
          <w:p w14:paraId="66330268" w14:textId="77777777" w:rsidR="00D230A2" w:rsidRDefault="00D230A2" w:rsidP="00F80A95"/>
        </w:tc>
        <w:tc>
          <w:tcPr>
            <w:tcW w:w="4386" w:type="dxa"/>
          </w:tcPr>
          <w:p w14:paraId="4DF034EF" w14:textId="77777777" w:rsidR="00D230A2" w:rsidRDefault="00D230A2" w:rsidP="00F80A95"/>
        </w:tc>
        <w:tc>
          <w:tcPr>
            <w:tcW w:w="5073" w:type="dxa"/>
          </w:tcPr>
          <w:p w14:paraId="132B96E9" w14:textId="77777777" w:rsidR="00D230A2" w:rsidRDefault="00D230A2" w:rsidP="00F80A95"/>
        </w:tc>
      </w:tr>
      <w:tr w:rsidR="00D230A2" w14:paraId="56F0A018" w14:textId="77777777" w:rsidTr="00F80A95">
        <w:tc>
          <w:tcPr>
            <w:tcW w:w="4386" w:type="dxa"/>
          </w:tcPr>
          <w:p w14:paraId="30729253" w14:textId="77777777" w:rsidR="00D230A2" w:rsidRDefault="00D230A2" w:rsidP="00F80A95"/>
        </w:tc>
        <w:tc>
          <w:tcPr>
            <w:tcW w:w="4386" w:type="dxa"/>
          </w:tcPr>
          <w:p w14:paraId="36644B3A" w14:textId="77777777" w:rsidR="00D230A2" w:rsidRDefault="00D230A2" w:rsidP="00F80A95"/>
        </w:tc>
        <w:tc>
          <w:tcPr>
            <w:tcW w:w="5073" w:type="dxa"/>
          </w:tcPr>
          <w:p w14:paraId="40A6B814" w14:textId="77777777" w:rsidR="00D230A2" w:rsidRDefault="00D230A2" w:rsidP="00F80A95"/>
        </w:tc>
      </w:tr>
      <w:tr w:rsidR="00D230A2" w14:paraId="4A57C9FA" w14:textId="77777777" w:rsidTr="00F80A95">
        <w:tc>
          <w:tcPr>
            <w:tcW w:w="4386" w:type="dxa"/>
          </w:tcPr>
          <w:p w14:paraId="683AA7D6" w14:textId="77777777" w:rsidR="00D230A2" w:rsidRDefault="00D230A2" w:rsidP="00F80A95"/>
        </w:tc>
        <w:tc>
          <w:tcPr>
            <w:tcW w:w="4386" w:type="dxa"/>
          </w:tcPr>
          <w:p w14:paraId="2D45A4E5" w14:textId="77777777" w:rsidR="00D230A2" w:rsidRDefault="00D230A2" w:rsidP="00F80A95"/>
        </w:tc>
        <w:tc>
          <w:tcPr>
            <w:tcW w:w="5073" w:type="dxa"/>
          </w:tcPr>
          <w:p w14:paraId="63D3AB19" w14:textId="77777777" w:rsidR="00D230A2" w:rsidRDefault="00D230A2" w:rsidP="00F80A95"/>
        </w:tc>
      </w:tr>
      <w:tr w:rsidR="00D230A2" w14:paraId="6DDC2A4C" w14:textId="77777777" w:rsidTr="00F80A95">
        <w:tc>
          <w:tcPr>
            <w:tcW w:w="4386" w:type="dxa"/>
          </w:tcPr>
          <w:p w14:paraId="24EC6B3E" w14:textId="77777777" w:rsidR="00D230A2" w:rsidRDefault="00D230A2" w:rsidP="00F80A95"/>
        </w:tc>
        <w:tc>
          <w:tcPr>
            <w:tcW w:w="4386" w:type="dxa"/>
          </w:tcPr>
          <w:p w14:paraId="1CDAE0D3" w14:textId="77777777" w:rsidR="00D230A2" w:rsidRDefault="00D230A2" w:rsidP="00F80A95"/>
        </w:tc>
        <w:tc>
          <w:tcPr>
            <w:tcW w:w="5073" w:type="dxa"/>
          </w:tcPr>
          <w:p w14:paraId="13EFB414" w14:textId="77777777" w:rsidR="00D230A2" w:rsidRDefault="00D230A2" w:rsidP="00F80A95"/>
        </w:tc>
      </w:tr>
      <w:tr w:rsidR="00D230A2" w14:paraId="152B4F04" w14:textId="77777777" w:rsidTr="00F80A95">
        <w:tc>
          <w:tcPr>
            <w:tcW w:w="4386" w:type="dxa"/>
          </w:tcPr>
          <w:p w14:paraId="324F86F1" w14:textId="77777777" w:rsidR="00D230A2" w:rsidRDefault="00D230A2" w:rsidP="00F80A95"/>
        </w:tc>
        <w:tc>
          <w:tcPr>
            <w:tcW w:w="4386" w:type="dxa"/>
          </w:tcPr>
          <w:p w14:paraId="2FF8A398" w14:textId="77777777" w:rsidR="00D230A2" w:rsidRDefault="00D230A2" w:rsidP="00F80A95"/>
        </w:tc>
        <w:tc>
          <w:tcPr>
            <w:tcW w:w="5073" w:type="dxa"/>
          </w:tcPr>
          <w:p w14:paraId="70A8C21A" w14:textId="77777777" w:rsidR="00D230A2" w:rsidRDefault="00D230A2" w:rsidP="00F80A95"/>
        </w:tc>
      </w:tr>
      <w:tr w:rsidR="00D230A2" w14:paraId="77CABB94" w14:textId="77777777" w:rsidTr="00F80A95">
        <w:tc>
          <w:tcPr>
            <w:tcW w:w="4386" w:type="dxa"/>
          </w:tcPr>
          <w:p w14:paraId="398311C3" w14:textId="77777777" w:rsidR="00D230A2" w:rsidRDefault="00D230A2" w:rsidP="00F80A95"/>
        </w:tc>
        <w:tc>
          <w:tcPr>
            <w:tcW w:w="4386" w:type="dxa"/>
          </w:tcPr>
          <w:p w14:paraId="744D405A" w14:textId="77777777" w:rsidR="00D230A2" w:rsidRDefault="00D230A2" w:rsidP="00F80A95"/>
        </w:tc>
        <w:tc>
          <w:tcPr>
            <w:tcW w:w="5073" w:type="dxa"/>
          </w:tcPr>
          <w:p w14:paraId="52AAA6B8" w14:textId="77777777" w:rsidR="00D230A2" w:rsidRDefault="00D230A2" w:rsidP="00F80A95"/>
        </w:tc>
      </w:tr>
      <w:tr w:rsidR="00D230A2" w14:paraId="3F6A0CEE" w14:textId="77777777" w:rsidTr="00F80A95">
        <w:tc>
          <w:tcPr>
            <w:tcW w:w="4386" w:type="dxa"/>
          </w:tcPr>
          <w:p w14:paraId="378B1BB2" w14:textId="77777777" w:rsidR="00D230A2" w:rsidRDefault="00D230A2" w:rsidP="00F80A95"/>
        </w:tc>
        <w:tc>
          <w:tcPr>
            <w:tcW w:w="4386" w:type="dxa"/>
          </w:tcPr>
          <w:p w14:paraId="6EB24A1D" w14:textId="77777777" w:rsidR="00D230A2" w:rsidRDefault="00D230A2" w:rsidP="00F80A95"/>
        </w:tc>
        <w:tc>
          <w:tcPr>
            <w:tcW w:w="5073" w:type="dxa"/>
          </w:tcPr>
          <w:p w14:paraId="48D21B31" w14:textId="77777777" w:rsidR="00D230A2" w:rsidRDefault="00D230A2" w:rsidP="00F80A95"/>
        </w:tc>
      </w:tr>
      <w:tr w:rsidR="00D230A2" w14:paraId="11AAC91B" w14:textId="77777777" w:rsidTr="00F80A95">
        <w:tc>
          <w:tcPr>
            <w:tcW w:w="4386" w:type="dxa"/>
          </w:tcPr>
          <w:p w14:paraId="627ED00A" w14:textId="77777777" w:rsidR="00D230A2" w:rsidRDefault="00D230A2" w:rsidP="00F80A95"/>
        </w:tc>
        <w:tc>
          <w:tcPr>
            <w:tcW w:w="4386" w:type="dxa"/>
          </w:tcPr>
          <w:p w14:paraId="35FFF7B6" w14:textId="77777777" w:rsidR="00D230A2" w:rsidRDefault="00D230A2" w:rsidP="00F80A95"/>
        </w:tc>
        <w:tc>
          <w:tcPr>
            <w:tcW w:w="5073" w:type="dxa"/>
          </w:tcPr>
          <w:p w14:paraId="37CEC00F" w14:textId="77777777" w:rsidR="00D230A2" w:rsidRDefault="00D230A2" w:rsidP="00F80A95"/>
        </w:tc>
      </w:tr>
    </w:tbl>
    <w:p w14:paraId="33EF438B" w14:textId="64844519" w:rsidR="00D230A2" w:rsidRDefault="00D230A2" w:rsidP="005B547C">
      <w:pPr>
        <w:rPr>
          <w:rFonts w:cs="Arial"/>
          <w:b/>
        </w:rPr>
      </w:pPr>
    </w:p>
    <w:p w14:paraId="21DD1E89" w14:textId="075417F9" w:rsidR="00D230A2" w:rsidRDefault="00D230A2" w:rsidP="005B547C">
      <w:pPr>
        <w:rPr>
          <w:rFonts w:cs="Arial"/>
          <w:b/>
        </w:rPr>
      </w:pPr>
    </w:p>
    <w:p w14:paraId="40285FC2" w14:textId="67EE6712" w:rsidR="00D230A2" w:rsidRDefault="00D230A2" w:rsidP="005B547C">
      <w:pPr>
        <w:rPr>
          <w:rFonts w:cs="Arial"/>
          <w:b/>
        </w:rPr>
      </w:pPr>
    </w:p>
    <w:p w14:paraId="3FF51653" w14:textId="38664080" w:rsidR="00D230A2" w:rsidRDefault="00D230A2" w:rsidP="005B547C">
      <w:pPr>
        <w:rPr>
          <w:rFonts w:cs="Arial"/>
          <w:b/>
        </w:rPr>
      </w:pPr>
    </w:p>
    <w:p w14:paraId="45C539E1" w14:textId="3A4A3C3D" w:rsidR="00D230A2" w:rsidRDefault="00D230A2" w:rsidP="005B547C">
      <w:pPr>
        <w:rPr>
          <w:rFonts w:cs="Arial"/>
          <w:b/>
        </w:rPr>
      </w:pPr>
    </w:p>
    <w:p w14:paraId="4CF5BF49" w14:textId="77777777" w:rsidR="00D230A2" w:rsidRDefault="00D230A2" w:rsidP="005B547C">
      <w:pPr>
        <w:rPr>
          <w:rFonts w:cs="Arial"/>
          <w:b/>
        </w:rPr>
      </w:pPr>
    </w:p>
    <w:p w14:paraId="1F2B62DA" w14:textId="2142E429" w:rsidR="00D230A2" w:rsidRDefault="00D230A2" w:rsidP="005B547C">
      <w:pPr>
        <w:rPr>
          <w:rFonts w:cs="Arial"/>
          <w:b/>
        </w:rPr>
      </w:pPr>
    </w:p>
    <w:p w14:paraId="1E37C805" w14:textId="77777777" w:rsidR="006171A7" w:rsidRDefault="006171A7" w:rsidP="005B547C">
      <w:pPr>
        <w:rPr>
          <w:rFonts w:cs="Arial"/>
          <w:b/>
        </w:rPr>
      </w:pPr>
    </w:p>
    <w:p w14:paraId="03307DC7" w14:textId="77777777" w:rsidR="00AD3B81" w:rsidRPr="00AD3B81" w:rsidRDefault="00AD3B81" w:rsidP="00D230A2">
      <w:pPr>
        <w:shd w:val="clear" w:color="auto" w:fill="0D0D0D" w:themeFill="text1" w:themeFillTint="F2"/>
        <w:rPr>
          <w:rFonts w:cs="Arial"/>
          <w:b/>
          <w:sz w:val="16"/>
        </w:rPr>
      </w:pPr>
    </w:p>
    <w:p w14:paraId="6FDF9E3F" w14:textId="0BE59FCF" w:rsidR="00D230A2" w:rsidRDefault="00D230A2" w:rsidP="00D230A2">
      <w:pPr>
        <w:shd w:val="clear" w:color="auto" w:fill="0D0D0D" w:themeFill="text1" w:themeFillTint="F2"/>
        <w:rPr>
          <w:rFonts w:cs="Arial"/>
          <w:b/>
        </w:rPr>
      </w:pPr>
      <w:r w:rsidRPr="00DA26F4">
        <w:rPr>
          <w:rFonts w:cs="Arial"/>
          <w:b/>
        </w:rPr>
        <w:t xml:space="preserve">Deliverable </w:t>
      </w:r>
      <w:r>
        <w:rPr>
          <w:rFonts w:cs="Arial"/>
          <w:b/>
        </w:rPr>
        <w:t>5: We</w:t>
      </w:r>
      <w:r w:rsidRPr="00D230A2">
        <w:rPr>
          <w:rFonts w:cs="Arial"/>
          <w:b/>
        </w:rPr>
        <w:t>bsite/Web Resources/Other Media</w:t>
      </w:r>
    </w:p>
    <w:p w14:paraId="70C6C268" w14:textId="77777777" w:rsidR="00D230A2" w:rsidRPr="00AD3B81" w:rsidRDefault="00D230A2" w:rsidP="00D230A2">
      <w:pPr>
        <w:shd w:val="clear" w:color="auto" w:fill="0D0D0D" w:themeFill="text1" w:themeFillTint="F2"/>
        <w:rPr>
          <w:b/>
          <w:sz w:val="16"/>
        </w:rPr>
      </w:pPr>
      <w:r w:rsidRPr="00DA26F4">
        <w:rPr>
          <w:rFonts w:cs="Arial"/>
          <w:b/>
        </w:rPr>
        <w:t xml:space="preserve">  </w:t>
      </w:r>
    </w:p>
    <w:p w14:paraId="63B060CE" w14:textId="1156CC3D" w:rsidR="006171A7" w:rsidRPr="00871B68" w:rsidRDefault="006171A7" w:rsidP="006171A7">
      <w:pPr>
        <w:pStyle w:val="ListParagraph"/>
        <w:numPr>
          <w:ilvl w:val="1"/>
          <w:numId w:val="15"/>
        </w:numPr>
        <w:ind w:left="900" w:hanging="540"/>
        <w:jc w:val="both"/>
      </w:pPr>
      <w:r w:rsidRPr="00871B68">
        <w:t xml:space="preserve">While the </w:t>
      </w:r>
      <w:r>
        <w:t xml:space="preserve">TAP for </w:t>
      </w:r>
      <w:r w:rsidRPr="00871B68">
        <w:t xml:space="preserve">Data will have primary technical responsibility for the </w:t>
      </w:r>
      <w:r>
        <w:t xml:space="preserve">design, development, and </w:t>
      </w:r>
      <w:r w:rsidRPr="00871B68">
        <w:t xml:space="preserve">maintenance of </w:t>
      </w:r>
      <w:r>
        <w:t>a</w:t>
      </w:r>
      <w:r w:rsidRPr="00871B68">
        <w:t xml:space="preserve"> website</w:t>
      </w:r>
      <w:r>
        <w:t xml:space="preserve"> to support the entire Partnership</w:t>
      </w:r>
      <w:r w:rsidRPr="00871B68">
        <w:t>, the remaining TA</w:t>
      </w:r>
      <w:r>
        <w:t>P</w:t>
      </w:r>
      <w:r w:rsidRPr="00871B68">
        <w:t>s will be responsible for reviewing and submitting relevant content</w:t>
      </w:r>
      <w:r w:rsidRPr="00F67A14">
        <w:t xml:space="preserve"> to the </w:t>
      </w:r>
      <w:r>
        <w:t>PIT</w:t>
      </w:r>
      <w:r w:rsidRPr="00F67A14">
        <w:t xml:space="preserve">. </w:t>
      </w:r>
      <w:r>
        <w:t>Website c</w:t>
      </w:r>
      <w:r w:rsidRPr="00871B68">
        <w:t>ontent includes, but is not limited to:</w:t>
      </w:r>
    </w:p>
    <w:p w14:paraId="007EA4F8" w14:textId="77777777" w:rsidR="006171A7" w:rsidRPr="00F023B6" w:rsidRDefault="006171A7" w:rsidP="006171A7">
      <w:pPr>
        <w:numPr>
          <w:ilvl w:val="1"/>
          <w:numId w:val="6"/>
        </w:numPr>
        <w:jc w:val="both"/>
      </w:pPr>
      <w:r>
        <w:t>R</w:t>
      </w:r>
      <w:r w:rsidRPr="00871B68">
        <w:t>esources,</w:t>
      </w:r>
      <w:r>
        <w:t xml:space="preserve"> curated by the TAPs, to include </w:t>
      </w:r>
      <w:r w:rsidRPr="00871B68">
        <w:t>research-based articles</w:t>
      </w:r>
      <w:r>
        <w:t xml:space="preserve"> and </w:t>
      </w:r>
      <w:r w:rsidRPr="00871B68">
        <w:t>tools</w:t>
      </w:r>
      <w:r>
        <w:t xml:space="preserve">, as well as </w:t>
      </w:r>
      <w:r w:rsidRPr="00871B68">
        <w:t>other materials, such as direct links to other national/state-funded technical assistance resources, as appropriate</w:t>
      </w:r>
      <w:r>
        <w:t xml:space="preserve">. </w:t>
      </w:r>
    </w:p>
    <w:p w14:paraId="158B6150" w14:textId="77777777" w:rsidR="006171A7" w:rsidRPr="00871B68" w:rsidRDefault="006171A7" w:rsidP="006171A7">
      <w:pPr>
        <w:numPr>
          <w:ilvl w:val="1"/>
          <w:numId w:val="6"/>
        </w:numPr>
        <w:jc w:val="both"/>
      </w:pPr>
      <w:r w:rsidRPr="00871B68">
        <w:t xml:space="preserve">Featured section, that includes, but is not limited to: </w:t>
      </w:r>
    </w:p>
    <w:p w14:paraId="1F20FBC7" w14:textId="77777777" w:rsidR="006171A7" w:rsidRPr="00871B68" w:rsidRDefault="006171A7" w:rsidP="006171A7">
      <w:pPr>
        <w:numPr>
          <w:ilvl w:val="2"/>
          <w:numId w:val="6"/>
        </w:numPr>
        <w:jc w:val="both"/>
      </w:pPr>
      <w:r w:rsidRPr="00871B68">
        <w:t>Upcoming events, both within and outside of the Partnership</w:t>
      </w:r>
    </w:p>
    <w:p w14:paraId="4F67CBBC" w14:textId="77777777" w:rsidR="006171A7" w:rsidRPr="00871B68" w:rsidRDefault="006171A7" w:rsidP="006171A7">
      <w:pPr>
        <w:numPr>
          <w:ilvl w:val="2"/>
          <w:numId w:val="6"/>
        </w:numPr>
        <w:jc w:val="both"/>
      </w:pPr>
      <w:r w:rsidRPr="00871B68">
        <w:t xml:space="preserve">The release of new content/critical documents created by </w:t>
      </w:r>
      <w:r>
        <w:t xml:space="preserve">the </w:t>
      </w:r>
      <w:r w:rsidRPr="00871B68">
        <w:t xml:space="preserve">Partnership </w:t>
      </w:r>
    </w:p>
    <w:p w14:paraId="5BFFC399" w14:textId="77777777" w:rsidR="006171A7" w:rsidRPr="00871B68" w:rsidRDefault="006171A7" w:rsidP="006171A7">
      <w:pPr>
        <w:numPr>
          <w:ilvl w:val="2"/>
          <w:numId w:val="6"/>
        </w:numPr>
        <w:jc w:val="both"/>
      </w:pPr>
      <w:r w:rsidRPr="00871B68">
        <w:t>Pertinent emerging trends and issues in the field</w:t>
      </w:r>
    </w:p>
    <w:p w14:paraId="7DFFB412" w14:textId="77777777" w:rsidR="006171A7" w:rsidRPr="00871B68" w:rsidRDefault="006171A7" w:rsidP="006171A7">
      <w:pPr>
        <w:numPr>
          <w:ilvl w:val="1"/>
          <w:numId w:val="6"/>
        </w:numPr>
        <w:jc w:val="both"/>
      </w:pPr>
      <w:r w:rsidRPr="00871B68">
        <w:t>Success stories/</w:t>
      </w:r>
      <w:r>
        <w:t>promising</w:t>
      </w:r>
      <w:r w:rsidRPr="00871B68">
        <w:t xml:space="preserve"> practices from across NYS</w:t>
      </w:r>
    </w:p>
    <w:p w14:paraId="55AC2188" w14:textId="77777777" w:rsidR="006171A7" w:rsidRPr="00871B68" w:rsidRDefault="006171A7" w:rsidP="006171A7">
      <w:pPr>
        <w:numPr>
          <w:ilvl w:val="2"/>
          <w:numId w:val="6"/>
        </w:numPr>
        <w:jc w:val="both"/>
      </w:pPr>
      <w:r w:rsidRPr="00871B68">
        <w:t xml:space="preserve">In collaboration with the </w:t>
      </w:r>
      <w:r>
        <w:t>PIT, and based on criteria established by the PIT,</w:t>
      </w:r>
      <w:r w:rsidRPr="00871B68">
        <w:t xml:space="preserve"> </w:t>
      </w:r>
      <w:r>
        <w:t xml:space="preserve">identify school success stories and/or promising practices and </w:t>
      </w:r>
      <w:r w:rsidRPr="00871B68">
        <w:t>determine appropriate and consistent means of capturing and sharing</w:t>
      </w:r>
      <w:r>
        <w:t xml:space="preserve"> those success stories and promising practices. </w:t>
      </w:r>
    </w:p>
    <w:p w14:paraId="478F3626" w14:textId="77777777" w:rsidR="006171A7" w:rsidRPr="00871B68" w:rsidRDefault="006171A7" w:rsidP="006171A7">
      <w:pPr>
        <w:numPr>
          <w:ilvl w:val="2"/>
          <w:numId w:val="6"/>
        </w:numPr>
        <w:jc w:val="both"/>
      </w:pPr>
      <w:r>
        <w:t>Prepare</w:t>
      </w:r>
      <w:r w:rsidRPr="00871B68">
        <w:t xml:space="preserve"> informational materials </w:t>
      </w:r>
      <w:r>
        <w:t xml:space="preserve">to highlight these practices </w:t>
      </w:r>
      <w:r w:rsidRPr="00871B68">
        <w:t xml:space="preserve">in a variety of formats, (such as podcasts, videos, text). </w:t>
      </w:r>
    </w:p>
    <w:p w14:paraId="5C1D1E2E" w14:textId="77777777" w:rsidR="006171A7" w:rsidRDefault="006171A7" w:rsidP="006171A7">
      <w:pPr>
        <w:numPr>
          <w:ilvl w:val="3"/>
          <w:numId w:val="6"/>
        </w:numPr>
        <w:jc w:val="both"/>
      </w:pPr>
      <w:r>
        <w:t>Allocate funding for n</w:t>
      </w:r>
      <w:r w:rsidRPr="00871B68">
        <w:t>o more than 15 minute</w:t>
      </w:r>
      <w:r>
        <w:t>s of</w:t>
      </w:r>
      <w:r w:rsidRPr="00871B68">
        <w:t xml:space="preserve"> high quality video per year, starting in year 2 of the contract</w:t>
      </w:r>
      <w:r>
        <w:t>.</w:t>
      </w:r>
    </w:p>
    <w:p w14:paraId="641BA466" w14:textId="16050756" w:rsidR="006171A7" w:rsidRPr="006171A7" w:rsidRDefault="006171A7" w:rsidP="006171A7">
      <w:pPr>
        <w:pStyle w:val="ListParagraph"/>
        <w:numPr>
          <w:ilvl w:val="1"/>
          <w:numId w:val="15"/>
        </w:numPr>
        <w:ind w:left="900" w:hanging="540"/>
        <w:jc w:val="both"/>
        <w:rPr>
          <w:rFonts w:eastAsiaTheme="minorHAnsi" w:cs="Arial"/>
          <w:sz w:val="22"/>
          <w:szCs w:val="22"/>
        </w:rPr>
      </w:pPr>
      <w:r>
        <w:t xml:space="preserve"> </w:t>
      </w:r>
      <w:r w:rsidRPr="006171A7">
        <w:rPr>
          <w:rFonts w:eastAsiaTheme="minorHAnsi" w:cs="Arial"/>
          <w:sz w:val="22"/>
          <w:szCs w:val="22"/>
        </w:rPr>
        <w:t>All web content (print, video, documents) will be prepared according to the process and procedures outlined by the TAP for Data in order to meet 508 compliance standards. Each of the TAPs will be responsible for uploading their own content to the website, as outlined by the processes created by the TAP for Data.</w:t>
      </w:r>
    </w:p>
    <w:p w14:paraId="137EC728" w14:textId="77777777" w:rsidR="006171A7" w:rsidRPr="00871B68" w:rsidRDefault="006171A7" w:rsidP="006171A7">
      <w:pPr>
        <w:ind w:left="360"/>
        <w:jc w:val="both"/>
      </w:pPr>
    </w:p>
    <w:p w14:paraId="01AB04CE" w14:textId="77777777" w:rsidR="006171A7" w:rsidRPr="00871B68" w:rsidRDefault="006171A7" w:rsidP="006171A7">
      <w:pPr>
        <w:pStyle w:val="ListParagraph"/>
        <w:numPr>
          <w:ilvl w:val="1"/>
          <w:numId w:val="15"/>
        </w:numPr>
        <w:ind w:left="900" w:hanging="540"/>
        <w:jc w:val="both"/>
      </w:pPr>
      <w:r>
        <w:t>Be prepared to utilize</w:t>
      </w:r>
      <w:r w:rsidRPr="00871B68">
        <w:t xml:space="preserve"> social media as a means of communication (</w:t>
      </w:r>
      <w:r>
        <w:t>for example, Y</w:t>
      </w:r>
      <w:r w:rsidRPr="00871B68">
        <w:t>ou</w:t>
      </w:r>
      <w:r>
        <w:t>T</w:t>
      </w:r>
      <w:r w:rsidRPr="00871B68">
        <w:t xml:space="preserve">ube, </w:t>
      </w:r>
      <w:r>
        <w:t>T</w:t>
      </w:r>
      <w:r w:rsidRPr="00871B68">
        <w:t xml:space="preserve">witter, </w:t>
      </w:r>
      <w:r>
        <w:t>F</w:t>
      </w:r>
      <w:r w:rsidRPr="00871B68">
        <w:t>acebook)</w:t>
      </w:r>
      <w:r>
        <w:t>.</w:t>
      </w:r>
    </w:p>
    <w:p w14:paraId="141D02CD" w14:textId="77777777" w:rsidR="00D230A2" w:rsidRPr="00206030" w:rsidRDefault="00D230A2" w:rsidP="00D230A2"/>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D230A2" w14:paraId="37A1E228" w14:textId="77777777" w:rsidTr="00F80A95">
        <w:tc>
          <w:tcPr>
            <w:tcW w:w="4386" w:type="dxa"/>
            <w:shd w:val="clear" w:color="auto" w:fill="D9D9D9" w:themeFill="background1" w:themeFillShade="D9"/>
          </w:tcPr>
          <w:p w14:paraId="38011F0E" w14:textId="77777777" w:rsidR="00D230A2" w:rsidRDefault="00D230A2" w:rsidP="00F80A95">
            <w:pPr>
              <w:jc w:val="center"/>
              <w:rPr>
                <w:b/>
              </w:rPr>
            </w:pPr>
          </w:p>
          <w:p w14:paraId="1E1138D9" w14:textId="77777777" w:rsidR="00D230A2" w:rsidRPr="007E55E8" w:rsidRDefault="00D230A2" w:rsidP="00F80A95">
            <w:pPr>
              <w:jc w:val="center"/>
              <w:rPr>
                <w:b/>
              </w:rPr>
            </w:pPr>
            <w:r w:rsidRPr="007E55E8">
              <w:rPr>
                <w:b/>
              </w:rPr>
              <w:t>Specifi</w:t>
            </w:r>
            <w:r>
              <w:rPr>
                <w:b/>
              </w:rPr>
              <w:t>c activities to meet deliverable</w:t>
            </w:r>
          </w:p>
        </w:tc>
        <w:tc>
          <w:tcPr>
            <w:tcW w:w="4386" w:type="dxa"/>
            <w:shd w:val="clear" w:color="auto" w:fill="D9D9D9" w:themeFill="background1" w:themeFillShade="D9"/>
          </w:tcPr>
          <w:p w14:paraId="15BEB1BB" w14:textId="77777777" w:rsidR="00D230A2" w:rsidRDefault="00D230A2" w:rsidP="00F80A95">
            <w:pPr>
              <w:jc w:val="center"/>
            </w:pPr>
          </w:p>
          <w:p w14:paraId="4FB4FEB1" w14:textId="77777777" w:rsidR="00D230A2" w:rsidRPr="007E55E8" w:rsidRDefault="00D230A2" w:rsidP="00F80A95">
            <w:pPr>
              <w:jc w:val="center"/>
              <w:rPr>
                <w:b/>
              </w:rPr>
            </w:pPr>
            <w:r w:rsidRPr="007E55E8">
              <w:rPr>
                <w:b/>
              </w:rPr>
              <w:t>Schedule of implementation</w:t>
            </w:r>
          </w:p>
        </w:tc>
        <w:tc>
          <w:tcPr>
            <w:tcW w:w="5073" w:type="dxa"/>
            <w:shd w:val="clear" w:color="auto" w:fill="D9D9D9" w:themeFill="background1" w:themeFillShade="D9"/>
          </w:tcPr>
          <w:p w14:paraId="6D9BA922" w14:textId="77777777" w:rsidR="00D230A2" w:rsidRDefault="00D230A2" w:rsidP="00F80A95">
            <w:pPr>
              <w:jc w:val="center"/>
              <w:rPr>
                <w:b/>
              </w:rPr>
            </w:pPr>
          </w:p>
          <w:p w14:paraId="07B47F95" w14:textId="77777777" w:rsidR="00D230A2" w:rsidRPr="007E55E8" w:rsidRDefault="00D230A2" w:rsidP="00F80A95">
            <w:pPr>
              <w:jc w:val="center"/>
              <w:rPr>
                <w:b/>
              </w:rPr>
            </w:pPr>
            <w:r>
              <w:rPr>
                <w:b/>
              </w:rPr>
              <w:t>Progress monitoring activities</w:t>
            </w:r>
          </w:p>
          <w:p w14:paraId="328F1EEB" w14:textId="77777777" w:rsidR="00D230A2" w:rsidRDefault="00D230A2" w:rsidP="00F80A95">
            <w:pPr>
              <w:jc w:val="center"/>
            </w:pPr>
          </w:p>
        </w:tc>
      </w:tr>
      <w:tr w:rsidR="00D230A2" w14:paraId="0139751A" w14:textId="77777777" w:rsidTr="00F80A95">
        <w:tc>
          <w:tcPr>
            <w:tcW w:w="4386" w:type="dxa"/>
          </w:tcPr>
          <w:p w14:paraId="586DE8A1" w14:textId="77777777" w:rsidR="00D230A2" w:rsidRDefault="00D230A2" w:rsidP="00F80A95"/>
        </w:tc>
        <w:tc>
          <w:tcPr>
            <w:tcW w:w="4386" w:type="dxa"/>
          </w:tcPr>
          <w:p w14:paraId="0B824900" w14:textId="77777777" w:rsidR="00D230A2" w:rsidRDefault="00D230A2" w:rsidP="00F80A95"/>
        </w:tc>
        <w:tc>
          <w:tcPr>
            <w:tcW w:w="5073" w:type="dxa"/>
          </w:tcPr>
          <w:p w14:paraId="203736AE" w14:textId="77777777" w:rsidR="00D230A2" w:rsidRDefault="00D230A2" w:rsidP="00F80A95"/>
        </w:tc>
      </w:tr>
      <w:tr w:rsidR="00D230A2" w14:paraId="5303CC58" w14:textId="77777777" w:rsidTr="00F80A95">
        <w:tc>
          <w:tcPr>
            <w:tcW w:w="4386" w:type="dxa"/>
          </w:tcPr>
          <w:p w14:paraId="144E094A" w14:textId="77777777" w:rsidR="00D230A2" w:rsidRDefault="00D230A2" w:rsidP="00F80A95"/>
        </w:tc>
        <w:tc>
          <w:tcPr>
            <w:tcW w:w="4386" w:type="dxa"/>
          </w:tcPr>
          <w:p w14:paraId="10C7211F" w14:textId="77777777" w:rsidR="00D230A2" w:rsidRDefault="00D230A2" w:rsidP="00F80A95"/>
        </w:tc>
        <w:tc>
          <w:tcPr>
            <w:tcW w:w="5073" w:type="dxa"/>
          </w:tcPr>
          <w:p w14:paraId="424E5AF2" w14:textId="77777777" w:rsidR="00D230A2" w:rsidRDefault="00D230A2" w:rsidP="00F80A95"/>
        </w:tc>
      </w:tr>
      <w:tr w:rsidR="00D230A2" w14:paraId="706B22DF" w14:textId="77777777" w:rsidTr="00F80A95">
        <w:tc>
          <w:tcPr>
            <w:tcW w:w="4386" w:type="dxa"/>
          </w:tcPr>
          <w:p w14:paraId="53C326A2" w14:textId="77777777" w:rsidR="00D230A2" w:rsidRDefault="00D230A2" w:rsidP="00F80A95"/>
        </w:tc>
        <w:tc>
          <w:tcPr>
            <w:tcW w:w="4386" w:type="dxa"/>
          </w:tcPr>
          <w:p w14:paraId="00ADE674" w14:textId="77777777" w:rsidR="00D230A2" w:rsidRDefault="00D230A2" w:rsidP="00F80A95"/>
        </w:tc>
        <w:tc>
          <w:tcPr>
            <w:tcW w:w="5073" w:type="dxa"/>
          </w:tcPr>
          <w:p w14:paraId="2A6E9C33" w14:textId="77777777" w:rsidR="00D230A2" w:rsidRDefault="00D230A2" w:rsidP="00F80A95"/>
        </w:tc>
      </w:tr>
      <w:tr w:rsidR="00D230A2" w14:paraId="2B2EE29D" w14:textId="77777777" w:rsidTr="00F80A95">
        <w:tc>
          <w:tcPr>
            <w:tcW w:w="4386" w:type="dxa"/>
          </w:tcPr>
          <w:p w14:paraId="5925C241" w14:textId="77777777" w:rsidR="00D230A2" w:rsidRDefault="00D230A2" w:rsidP="00F80A95"/>
        </w:tc>
        <w:tc>
          <w:tcPr>
            <w:tcW w:w="4386" w:type="dxa"/>
          </w:tcPr>
          <w:p w14:paraId="189A15CD" w14:textId="77777777" w:rsidR="00D230A2" w:rsidRDefault="00D230A2" w:rsidP="00F80A95"/>
        </w:tc>
        <w:tc>
          <w:tcPr>
            <w:tcW w:w="5073" w:type="dxa"/>
          </w:tcPr>
          <w:p w14:paraId="6A43194F" w14:textId="77777777" w:rsidR="00D230A2" w:rsidRDefault="00D230A2" w:rsidP="00F80A95"/>
        </w:tc>
      </w:tr>
      <w:tr w:rsidR="00D230A2" w14:paraId="25048589" w14:textId="77777777" w:rsidTr="00F80A95">
        <w:tc>
          <w:tcPr>
            <w:tcW w:w="4386" w:type="dxa"/>
          </w:tcPr>
          <w:p w14:paraId="40B85EA0" w14:textId="77777777" w:rsidR="00D230A2" w:rsidRDefault="00D230A2" w:rsidP="00F80A95"/>
        </w:tc>
        <w:tc>
          <w:tcPr>
            <w:tcW w:w="4386" w:type="dxa"/>
          </w:tcPr>
          <w:p w14:paraId="7C1305CD" w14:textId="77777777" w:rsidR="00D230A2" w:rsidRDefault="00D230A2" w:rsidP="00F80A95"/>
        </w:tc>
        <w:tc>
          <w:tcPr>
            <w:tcW w:w="5073" w:type="dxa"/>
          </w:tcPr>
          <w:p w14:paraId="00D275F9" w14:textId="77777777" w:rsidR="00D230A2" w:rsidRDefault="00D230A2" w:rsidP="00F80A95"/>
        </w:tc>
      </w:tr>
      <w:tr w:rsidR="00D230A2" w14:paraId="7C21A7EB" w14:textId="77777777" w:rsidTr="00F80A95">
        <w:tc>
          <w:tcPr>
            <w:tcW w:w="4386" w:type="dxa"/>
          </w:tcPr>
          <w:p w14:paraId="39839577" w14:textId="77777777" w:rsidR="00D230A2" w:rsidRDefault="00D230A2" w:rsidP="00F80A95"/>
        </w:tc>
        <w:tc>
          <w:tcPr>
            <w:tcW w:w="4386" w:type="dxa"/>
          </w:tcPr>
          <w:p w14:paraId="0809BA28" w14:textId="77777777" w:rsidR="00D230A2" w:rsidRDefault="00D230A2" w:rsidP="00F80A95"/>
        </w:tc>
        <w:tc>
          <w:tcPr>
            <w:tcW w:w="5073" w:type="dxa"/>
          </w:tcPr>
          <w:p w14:paraId="78374A13" w14:textId="77777777" w:rsidR="00D230A2" w:rsidRDefault="00D230A2" w:rsidP="00F80A95"/>
        </w:tc>
      </w:tr>
    </w:tbl>
    <w:p w14:paraId="5C317197" w14:textId="02DFF32B" w:rsidR="00D230A2" w:rsidRDefault="00D230A2" w:rsidP="00AD3B81">
      <w:pPr>
        <w:rPr>
          <w:rFonts w:cs="Arial"/>
          <w:b/>
        </w:rPr>
      </w:pPr>
    </w:p>
    <w:sectPr w:rsidR="00D230A2" w:rsidSect="00D230A2">
      <w:headerReference w:type="default" r:id="rId8"/>
      <w:footerReference w:type="even" r:id="rId9"/>
      <w:footerReference w:type="default" r:id="rId10"/>
      <w:pgSz w:w="15840" w:h="12240" w:orient="landscape" w:code="1"/>
      <w:pgMar w:top="1170" w:right="1008" w:bottom="1008"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425CB" w14:textId="77777777" w:rsidR="00D12976" w:rsidRDefault="00D12976">
      <w:r>
        <w:separator/>
      </w:r>
    </w:p>
  </w:endnote>
  <w:endnote w:type="continuationSeparator" w:id="0">
    <w:p w14:paraId="1EF09CFA" w14:textId="77777777" w:rsidR="00D12976" w:rsidRDefault="00D1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74DE4" w14:textId="77777777" w:rsidR="00586C00" w:rsidRDefault="00586C00" w:rsidP="00586C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B40A42" w14:textId="77777777" w:rsidR="00586C00" w:rsidRDefault="00586C00" w:rsidP="00586C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874C4" w14:textId="77777777" w:rsidR="00586C00" w:rsidRDefault="00586C00" w:rsidP="00586C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38C0">
      <w:rPr>
        <w:rStyle w:val="PageNumber"/>
        <w:noProof/>
      </w:rPr>
      <w:t>1</w:t>
    </w:r>
    <w:r>
      <w:rPr>
        <w:rStyle w:val="PageNumber"/>
      </w:rPr>
      <w:fldChar w:fldCharType="end"/>
    </w:r>
  </w:p>
  <w:p w14:paraId="70E46A01" w14:textId="77777777" w:rsidR="00586C00" w:rsidRDefault="00586C00" w:rsidP="00586C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01F9B" w14:textId="77777777" w:rsidR="00D12976" w:rsidRDefault="00D12976">
      <w:r>
        <w:separator/>
      </w:r>
    </w:p>
  </w:footnote>
  <w:footnote w:type="continuationSeparator" w:id="0">
    <w:p w14:paraId="1266EEC6" w14:textId="77777777" w:rsidR="00D12976" w:rsidRDefault="00D12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06712" w14:textId="4A17EC3A" w:rsidR="00586C00" w:rsidRDefault="0046543A" w:rsidP="004B5E9C">
    <w:pPr>
      <w:jc w:val="center"/>
      <w:rPr>
        <w:rFonts w:cs="Arial"/>
        <w:b/>
      </w:rPr>
    </w:pPr>
    <w:r>
      <w:rPr>
        <w:rFonts w:cs="Arial"/>
        <w:b/>
      </w:rPr>
      <w:t>Special Education Technical Assistance Partnership for Equity</w:t>
    </w:r>
  </w:p>
  <w:p w14:paraId="1E9CB2DC" w14:textId="4263FE42" w:rsidR="000B648E" w:rsidRPr="00A9361E" w:rsidRDefault="00A9361E" w:rsidP="000B648E">
    <w:pPr>
      <w:jc w:val="center"/>
      <w:rPr>
        <w:rFonts w:cs="Arial"/>
        <w:b/>
      </w:rPr>
    </w:pPr>
    <w:r w:rsidRPr="00A9361E">
      <w:rPr>
        <w:rFonts w:cs="Arial"/>
        <w:b/>
      </w:rPr>
      <w:t xml:space="preserve">Workplan for </w:t>
    </w:r>
    <w:r w:rsidR="005424C1" w:rsidRPr="00A9361E">
      <w:rPr>
        <w:rFonts w:cs="Arial"/>
        <w:b/>
      </w:rPr>
      <w:t>Year 1, 2019-202</w:t>
    </w:r>
    <w:r>
      <w:rPr>
        <w:rFonts w:cs="Arial"/>
        <w: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2F55"/>
    <w:multiLevelType w:val="multilevel"/>
    <w:tmpl w:val="32B47670"/>
    <w:lvl w:ilvl="0">
      <w:start w:val="4"/>
      <w:numFmt w:val="decimal"/>
      <w:lvlText w:val="%1"/>
      <w:lvlJc w:val="left"/>
      <w:pPr>
        <w:ind w:left="360" w:hanging="360"/>
      </w:pPr>
      <w:rPr>
        <w:rFonts w:hint="default"/>
      </w:rPr>
    </w:lvl>
    <w:lvl w:ilvl="1">
      <w:start w:val="1"/>
      <w:numFmt w:val="decimal"/>
      <w:lvlText w:val="%1.%2"/>
      <w:lvlJc w:val="left"/>
      <w:pPr>
        <w:ind w:left="3960" w:hanging="36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880" w:hanging="108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440" w:hanging="144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7000" w:hanging="1800"/>
      </w:pPr>
      <w:rPr>
        <w:rFonts w:hint="default"/>
      </w:rPr>
    </w:lvl>
    <w:lvl w:ilvl="8">
      <w:start w:val="1"/>
      <w:numFmt w:val="decimal"/>
      <w:lvlText w:val="%1.%2.%3.%4.%5.%6.%7.%8.%9"/>
      <w:lvlJc w:val="left"/>
      <w:pPr>
        <w:ind w:left="30600" w:hanging="1800"/>
      </w:pPr>
      <w:rPr>
        <w:rFonts w:hint="default"/>
      </w:rPr>
    </w:lvl>
  </w:abstractNum>
  <w:abstractNum w:abstractNumId="1" w15:restartNumberingAfterBreak="0">
    <w:nsid w:val="037674C8"/>
    <w:multiLevelType w:val="hybridMultilevel"/>
    <w:tmpl w:val="E02808E4"/>
    <w:lvl w:ilvl="0" w:tplc="1DC68FA0">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05F54555"/>
    <w:multiLevelType w:val="hybridMultilevel"/>
    <w:tmpl w:val="C8ACF8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257072"/>
    <w:multiLevelType w:val="multilevel"/>
    <w:tmpl w:val="7910E3DE"/>
    <w:lvl w:ilvl="0">
      <w:start w:val="1"/>
      <w:numFmt w:val="decimal"/>
      <w:lvlText w:val="%1."/>
      <w:lvlJc w:val="left"/>
      <w:pPr>
        <w:ind w:left="720" w:hanging="360"/>
      </w:pPr>
      <w:rPr>
        <w:rFonts w:hint="default"/>
      </w:rPr>
    </w:lvl>
    <w:lvl w:ilvl="1">
      <w:start w:val="1"/>
      <w:numFmt w:val="decimal"/>
      <w:isLgl/>
      <w:lvlText w:val="%1.%2"/>
      <w:lvlJc w:val="left"/>
      <w:pPr>
        <w:ind w:left="39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8257338"/>
    <w:multiLevelType w:val="multilevel"/>
    <w:tmpl w:val="D8F6CFFC"/>
    <w:lvl w:ilvl="0">
      <w:start w:val="3"/>
      <w:numFmt w:val="decimal"/>
      <w:lvlText w:val="%1"/>
      <w:lvlJc w:val="left"/>
      <w:pPr>
        <w:ind w:left="360" w:hanging="360"/>
      </w:pPr>
      <w:rPr>
        <w:rFonts w:hint="default"/>
      </w:rPr>
    </w:lvl>
    <w:lvl w:ilvl="1">
      <w:start w:val="1"/>
      <w:numFmt w:val="decimal"/>
      <w:lvlText w:val="%1.%2"/>
      <w:lvlJc w:val="left"/>
      <w:pPr>
        <w:ind w:left="3960" w:hanging="36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880" w:hanging="108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440" w:hanging="144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7000" w:hanging="1800"/>
      </w:pPr>
      <w:rPr>
        <w:rFonts w:hint="default"/>
      </w:rPr>
    </w:lvl>
    <w:lvl w:ilvl="8">
      <w:start w:val="1"/>
      <w:numFmt w:val="decimal"/>
      <w:lvlText w:val="%1.%2.%3.%4.%5.%6.%7.%8.%9"/>
      <w:lvlJc w:val="left"/>
      <w:pPr>
        <w:ind w:left="30600" w:hanging="1800"/>
      </w:pPr>
      <w:rPr>
        <w:rFonts w:hint="default"/>
      </w:rPr>
    </w:lvl>
  </w:abstractNum>
  <w:abstractNum w:abstractNumId="5" w15:restartNumberingAfterBreak="0">
    <w:nsid w:val="38281D6F"/>
    <w:multiLevelType w:val="multilevel"/>
    <w:tmpl w:val="D87EE6FC"/>
    <w:lvl w:ilvl="0">
      <w:start w:val="2"/>
      <w:numFmt w:val="decimal"/>
      <w:lvlText w:val="%1"/>
      <w:lvlJc w:val="left"/>
      <w:pPr>
        <w:ind w:left="360" w:hanging="360"/>
      </w:pPr>
      <w:rPr>
        <w:rFonts w:hint="default"/>
      </w:rPr>
    </w:lvl>
    <w:lvl w:ilvl="1">
      <w:start w:val="1"/>
      <w:numFmt w:val="decimal"/>
      <w:lvlText w:val="%1.%2"/>
      <w:lvlJc w:val="left"/>
      <w:pPr>
        <w:ind w:left="3960" w:hanging="36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880" w:hanging="108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440" w:hanging="144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7000" w:hanging="1800"/>
      </w:pPr>
      <w:rPr>
        <w:rFonts w:hint="default"/>
      </w:rPr>
    </w:lvl>
    <w:lvl w:ilvl="8">
      <w:start w:val="1"/>
      <w:numFmt w:val="decimal"/>
      <w:lvlText w:val="%1.%2.%3.%4.%5.%6.%7.%8.%9"/>
      <w:lvlJc w:val="left"/>
      <w:pPr>
        <w:ind w:left="30600" w:hanging="1800"/>
      </w:pPr>
      <w:rPr>
        <w:rFonts w:hint="default"/>
      </w:rPr>
    </w:lvl>
  </w:abstractNum>
  <w:abstractNum w:abstractNumId="6" w15:restartNumberingAfterBreak="0">
    <w:nsid w:val="43AB44AC"/>
    <w:multiLevelType w:val="multilevel"/>
    <w:tmpl w:val="623AC0D0"/>
    <w:lvl w:ilvl="0">
      <w:start w:val="4"/>
      <w:numFmt w:val="decimal"/>
      <w:lvlText w:val="%1"/>
      <w:lvlJc w:val="left"/>
      <w:pPr>
        <w:ind w:left="360" w:hanging="360"/>
      </w:pPr>
      <w:rPr>
        <w:rFonts w:hint="default"/>
      </w:rPr>
    </w:lvl>
    <w:lvl w:ilvl="1">
      <w:start w:val="1"/>
      <w:numFmt w:val="decimal"/>
      <w:lvlText w:val="%1.%2"/>
      <w:lvlJc w:val="left"/>
      <w:pPr>
        <w:ind w:left="3960" w:hanging="36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880" w:hanging="108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440" w:hanging="144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7000" w:hanging="1800"/>
      </w:pPr>
      <w:rPr>
        <w:rFonts w:hint="default"/>
      </w:rPr>
    </w:lvl>
    <w:lvl w:ilvl="8">
      <w:start w:val="1"/>
      <w:numFmt w:val="decimal"/>
      <w:lvlText w:val="%1.%2.%3.%4.%5.%6.%7.%8.%9"/>
      <w:lvlJc w:val="left"/>
      <w:pPr>
        <w:ind w:left="30600" w:hanging="1800"/>
      </w:pPr>
      <w:rPr>
        <w:rFonts w:hint="default"/>
      </w:rPr>
    </w:lvl>
  </w:abstractNum>
  <w:abstractNum w:abstractNumId="7" w15:restartNumberingAfterBreak="0">
    <w:nsid w:val="49E517E8"/>
    <w:multiLevelType w:val="multilevel"/>
    <w:tmpl w:val="9558B52C"/>
    <w:lvl w:ilvl="0">
      <w:start w:val="5"/>
      <w:numFmt w:val="decimal"/>
      <w:lvlText w:val="%1"/>
      <w:lvlJc w:val="left"/>
      <w:pPr>
        <w:ind w:left="360" w:hanging="360"/>
      </w:pPr>
      <w:rPr>
        <w:rFonts w:hint="default"/>
      </w:rPr>
    </w:lvl>
    <w:lvl w:ilvl="1">
      <w:start w:val="1"/>
      <w:numFmt w:val="decimal"/>
      <w:lvlText w:val="%1.%2"/>
      <w:lvlJc w:val="left"/>
      <w:pPr>
        <w:ind w:left="3960" w:hanging="36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880" w:hanging="108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440" w:hanging="144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7000" w:hanging="1800"/>
      </w:pPr>
      <w:rPr>
        <w:rFonts w:hint="default"/>
      </w:rPr>
    </w:lvl>
    <w:lvl w:ilvl="8">
      <w:start w:val="1"/>
      <w:numFmt w:val="decimal"/>
      <w:lvlText w:val="%1.%2.%3.%4.%5.%6.%7.%8.%9"/>
      <w:lvlJc w:val="left"/>
      <w:pPr>
        <w:ind w:left="30600" w:hanging="1800"/>
      </w:pPr>
      <w:rPr>
        <w:rFonts w:hint="default"/>
      </w:rPr>
    </w:lvl>
  </w:abstractNum>
  <w:abstractNum w:abstractNumId="8" w15:restartNumberingAfterBreak="0">
    <w:nsid w:val="4A364BEE"/>
    <w:multiLevelType w:val="hybridMultilevel"/>
    <w:tmpl w:val="6862E266"/>
    <w:lvl w:ilvl="0" w:tplc="E062CF90">
      <w:start w:val="1"/>
      <w:numFmt w:val="bullet"/>
      <w:lvlText w:val="•"/>
      <w:lvlJc w:val="left"/>
      <w:pPr>
        <w:tabs>
          <w:tab w:val="num" w:pos="720"/>
        </w:tabs>
        <w:ind w:left="720" w:hanging="360"/>
      </w:pPr>
      <w:rPr>
        <w:rFonts w:ascii="Times New Roman" w:hAnsi="Times New Roman" w:hint="default"/>
      </w:rPr>
    </w:lvl>
    <w:lvl w:ilvl="1" w:tplc="65F258EA" w:tentative="1">
      <w:start w:val="1"/>
      <w:numFmt w:val="bullet"/>
      <w:lvlText w:val="•"/>
      <w:lvlJc w:val="left"/>
      <w:pPr>
        <w:tabs>
          <w:tab w:val="num" w:pos="1440"/>
        </w:tabs>
        <w:ind w:left="1440" w:hanging="360"/>
      </w:pPr>
      <w:rPr>
        <w:rFonts w:ascii="Times New Roman" w:hAnsi="Times New Roman" w:hint="default"/>
      </w:rPr>
    </w:lvl>
    <w:lvl w:ilvl="2" w:tplc="6676367C" w:tentative="1">
      <w:start w:val="1"/>
      <w:numFmt w:val="bullet"/>
      <w:lvlText w:val="•"/>
      <w:lvlJc w:val="left"/>
      <w:pPr>
        <w:tabs>
          <w:tab w:val="num" w:pos="2160"/>
        </w:tabs>
        <w:ind w:left="2160" w:hanging="360"/>
      </w:pPr>
      <w:rPr>
        <w:rFonts w:ascii="Times New Roman" w:hAnsi="Times New Roman" w:hint="default"/>
      </w:rPr>
    </w:lvl>
    <w:lvl w:ilvl="3" w:tplc="A31C0954" w:tentative="1">
      <w:start w:val="1"/>
      <w:numFmt w:val="bullet"/>
      <w:lvlText w:val="•"/>
      <w:lvlJc w:val="left"/>
      <w:pPr>
        <w:tabs>
          <w:tab w:val="num" w:pos="2880"/>
        </w:tabs>
        <w:ind w:left="2880" w:hanging="360"/>
      </w:pPr>
      <w:rPr>
        <w:rFonts w:ascii="Times New Roman" w:hAnsi="Times New Roman" w:hint="default"/>
      </w:rPr>
    </w:lvl>
    <w:lvl w:ilvl="4" w:tplc="2A00A284" w:tentative="1">
      <w:start w:val="1"/>
      <w:numFmt w:val="bullet"/>
      <w:lvlText w:val="•"/>
      <w:lvlJc w:val="left"/>
      <w:pPr>
        <w:tabs>
          <w:tab w:val="num" w:pos="3600"/>
        </w:tabs>
        <w:ind w:left="3600" w:hanging="360"/>
      </w:pPr>
      <w:rPr>
        <w:rFonts w:ascii="Times New Roman" w:hAnsi="Times New Roman" w:hint="default"/>
      </w:rPr>
    </w:lvl>
    <w:lvl w:ilvl="5" w:tplc="1786C30A" w:tentative="1">
      <w:start w:val="1"/>
      <w:numFmt w:val="bullet"/>
      <w:lvlText w:val="•"/>
      <w:lvlJc w:val="left"/>
      <w:pPr>
        <w:tabs>
          <w:tab w:val="num" w:pos="4320"/>
        </w:tabs>
        <w:ind w:left="4320" w:hanging="360"/>
      </w:pPr>
      <w:rPr>
        <w:rFonts w:ascii="Times New Roman" w:hAnsi="Times New Roman" w:hint="default"/>
      </w:rPr>
    </w:lvl>
    <w:lvl w:ilvl="6" w:tplc="10968D94" w:tentative="1">
      <w:start w:val="1"/>
      <w:numFmt w:val="bullet"/>
      <w:lvlText w:val="•"/>
      <w:lvlJc w:val="left"/>
      <w:pPr>
        <w:tabs>
          <w:tab w:val="num" w:pos="5040"/>
        </w:tabs>
        <w:ind w:left="5040" w:hanging="360"/>
      </w:pPr>
      <w:rPr>
        <w:rFonts w:ascii="Times New Roman" w:hAnsi="Times New Roman" w:hint="default"/>
      </w:rPr>
    </w:lvl>
    <w:lvl w:ilvl="7" w:tplc="F8C065AE" w:tentative="1">
      <w:start w:val="1"/>
      <w:numFmt w:val="bullet"/>
      <w:lvlText w:val="•"/>
      <w:lvlJc w:val="left"/>
      <w:pPr>
        <w:tabs>
          <w:tab w:val="num" w:pos="5760"/>
        </w:tabs>
        <w:ind w:left="5760" w:hanging="360"/>
      </w:pPr>
      <w:rPr>
        <w:rFonts w:ascii="Times New Roman" w:hAnsi="Times New Roman" w:hint="default"/>
      </w:rPr>
    </w:lvl>
    <w:lvl w:ilvl="8" w:tplc="27AAF8F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A8D3E8B"/>
    <w:multiLevelType w:val="hybridMultilevel"/>
    <w:tmpl w:val="6732405C"/>
    <w:lvl w:ilvl="0" w:tplc="04090001">
      <w:start w:val="1"/>
      <w:numFmt w:val="bullet"/>
      <w:lvlText w:val=""/>
      <w:lvlJc w:val="left"/>
      <w:pPr>
        <w:ind w:left="720" w:hanging="360"/>
      </w:pPr>
      <w:rPr>
        <w:rFonts w:ascii="Symbol" w:hAnsi="Symbol" w:hint="default"/>
      </w:rPr>
    </w:lvl>
    <w:lvl w:ilvl="1" w:tplc="83AA8B0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D07389"/>
    <w:multiLevelType w:val="hybridMultilevel"/>
    <w:tmpl w:val="606A3DF4"/>
    <w:lvl w:ilvl="0" w:tplc="6E90206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D8155E"/>
    <w:multiLevelType w:val="hybridMultilevel"/>
    <w:tmpl w:val="D5A6D30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59144B3"/>
    <w:multiLevelType w:val="multilevel"/>
    <w:tmpl w:val="B06A72FE"/>
    <w:lvl w:ilvl="0">
      <w:start w:val="3"/>
      <w:numFmt w:val="decimal"/>
      <w:lvlText w:val="%1"/>
      <w:lvlJc w:val="left"/>
      <w:pPr>
        <w:ind w:left="360" w:hanging="360"/>
      </w:pPr>
      <w:rPr>
        <w:rFonts w:hint="default"/>
      </w:rPr>
    </w:lvl>
    <w:lvl w:ilvl="1">
      <w:start w:val="1"/>
      <w:numFmt w:val="decimal"/>
      <w:lvlText w:val="%1.%2"/>
      <w:lvlJc w:val="left"/>
      <w:pPr>
        <w:ind w:left="3960" w:hanging="36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880" w:hanging="108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440" w:hanging="144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7000" w:hanging="1800"/>
      </w:pPr>
      <w:rPr>
        <w:rFonts w:hint="default"/>
      </w:rPr>
    </w:lvl>
    <w:lvl w:ilvl="8">
      <w:start w:val="1"/>
      <w:numFmt w:val="decimal"/>
      <w:lvlText w:val="%1.%2.%3.%4.%5.%6.%7.%8.%9"/>
      <w:lvlJc w:val="left"/>
      <w:pPr>
        <w:ind w:left="30600" w:hanging="1800"/>
      </w:pPr>
      <w:rPr>
        <w:rFonts w:hint="default"/>
      </w:rPr>
    </w:lvl>
  </w:abstractNum>
  <w:abstractNum w:abstractNumId="13" w15:restartNumberingAfterBreak="0">
    <w:nsid w:val="6E935927"/>
    <w:multiLevelType w:val="multilevel"/>
    <w:tmpl w:val="F35A6B26"/>
    <w:lvl w:ilvl="0">
      <w:start w:val="2"/>
      <w:numFmt w:val="decimal"/>
      <w:lvlText w:val="%1"/>
      <w:lvlJc w:val="left"/>
      <w:pPr>
        <w:ind w:left="360" w:hanging="360"/>
      </w:pPr>
      <w:rPr>
        <w:rFonts w:hint="default"/>
      </w:rPr>
    </w:lvl>
    <w:lvl w:ilvl="1">
      <w:start w:val="1"/>
      <w:numFmt w:val="decimal"/>
      <w:lvlText w:val="%1.%2"/>
      <w:lvlJc w:val="left"/>
      <w:pPr>
        <w:ind w:left="3960" w:hanging="36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880" w:hanging="108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440" w:hanging="144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7000" w:hanging="1800"/>
      </w:pPr>
      <w:rPr>
        <w:rFonts w:hint="default"/>
      </w:rPr>
    </w:lvl>
    <w:lvl w:ilvl="8">
      <w:start w:val="1"/>
      <w:numFmt w:val="decimal"/>
      <w:lvlText w:val="%1.%2.%3.%4.%5.%6.%7.%8.%9"/>
      <w:lvlJc w:val="left"/>
      <w:pPr>
        <w:ind w:left="30600" w:hanging="1800"/>
      </w:pPr>
      <w:rPr>
        <w:rFonts w:hint="default"/>
      </w:rPr>
    </w:lvl>
  </w:abstractNum>
  <w:abstractNum w:abstractNumId="14" w15:restartNumberingAfterBreak="0">
    <w:nsid w:val="73402FC6"/>
    <w:multiLevelType w:val="multilevel"/>
    <w:tmpl w:val="ECE0E95C"/>
    <w:lvl w:ilvl="0">
      <w:start w:val="5"/>
      <w:numFmt w:val="decimal"/>
      <w:lvlText w:val="%1"/>
      <w:lvlJc w:val="left"/>
      <w:pPr>
        <w:ind w:left="360" w:hanging="360"/>
      </w:pPr>
      <w:rPr>
        <w:rFonts w:hint="default"/>
      </w:rPr>
    </w:lvl>
    <w:lvl w:ilvl="1">
      <w:start w:val="1"/>
      <w:numFmt w:val="decimal"/>
      <w:lvlText w:val="%1.%2"/>
      <w:lvlJc w:val="left"/>
      <w:pPr>
        <w:ind w:left="3960" w:hanging="36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880" w:hanging="108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440" w:hanging="144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7000" w:hanging="1800"/>
      </w:pPr>
      <w:rPr>
        <w:rFonts w:hint="default"/>
      </w:rPr>
    </w:lvl>
    <w:lvl w:ilvl="8">
      <w:start w:val="1"/>
      <w:numFmt w:val="decimal"/>
      <w:lvlText w:val="%1.%2.%3.%4.%5.%6.%7.%8.%9"/>
      <w:lvlJc w:val="left"/>
      <w:pPr>
        <w:ind w:left="30600" w:hanging="1800"/>
      </w:pPr>
      <w:rPr>
        <w:rFonts w:hint="default"/>
      </w:rPr>
    </w:lvl>
  </w:abstractNum>
  <w:num w:numId="1">
    <w:abstractNumId w:val="10"/>
  </w:num>
  <w:num w:numId="2">
    <w:abstractNumId w:val="1"/>
  </w:num>
  <w:num w:numId="3">
    <w:abstractNumId w:val="11"/>
  </w:num>
  <w:num w:numId="4">
    <w:abstractNumId w:val="2"/>
  </w:num>
  <w:num w:numId="5">
    <w:abstractNumId w:val="8"/>
  </w:num>
  <w:num w:numId="6">
    <w:abstractNumId w:val="9"/>
  </w:num>
  <w:num w:numId="7">
    <w:abstractNumId w:val="3"/>
  </w:num>
  <w:num w:numId="8">
    <w:abstractNumId w:val="13"/>
  </w:num>
  <w:num w:numId="9">
    <w:abstractNumId w:val="4"/>
  </w:num>
  <w:num w:numId="10">
    <w:abstractNumId w:val="0"/>
  </w:num>
  <w:num w:numId="11">
    <w:abstractNumId w:val="14"/>
  </w:num>
  <w:num w:numId="12">
    <w:abstractNumId w:val="5"/>
  </w:num>
  <w:num w:numId="13">
    <w:abstractNumId w:val="12"/>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EC5"/>
    <w:rsid w:val="00001C66"/>
    <w:rsid w:val="00053C3F"/>
    <w:rsid w:val="00081C7D"/>
    <w:rsid w:val="000B648E"/>
    <w:rsid w:val="000C2F87"/>
    <w:rsid w:val="00220069"/>
    <w:rsid w:val="0024709C"/>
    <w:rsid w:val="002A7081"/>
    <w:rsid w:val="003B3C9B"/>
    <w:rsid w:val="0046543A"/>
    <w:rsid w:val="00490A87"/>
    <w:rsid w:val="004B5E9C"/>
    <w:rsid w:val="005424C1"/>
    <w:rsid w:val="005453F3"/>
    <w:rsid w:val="00560084"/>
    <w:rsid w:val="00586C00"/>
    <w:rsid w:val="005A1376"/>
    <w:rsid w:val="005B547C"/>
    <w:rsid w:val="006171A7"/>
    <w:rsid w:val="00671B96"/>
    <w:rsid w:val="006E610F"/>
    <w:rsid w:val="006F6C5E"/>
    <w:rsid w:val="00735936"/>
    <w:rsid w:val="00782FD9"/>
    <w:rsid w:val="007F4E6A"/>
    <w:rsid w:val="008843E0"/>
    <w:rsid w:val="008A6DAC"/>
    <w:rsid w:val="00902C20"/>
    <w:rsid w:val="00915184"/>
    <w:rsid w:val="00A9361E"/>
    <w:rsid w:val="00AB4564"/>
    <w:rsid w:val="00AD3B81"/>
    <w:rsid w:val="00B06878"/>
    <w:rsid w:val="00B73C21"/>
    <w:rsid w:val="00C1469F"/>
    <w:rsid w:val="00CA33B8"/>
    <w:rsid w:val="00CA3EBD"/>
    <w:rsid w:val="00D12976"/>
    <w:rsid w:val="00D2218D"/>
    <w:rsid w:val="00D230A2"/>
    <w:rsid w:val="00DA26F4"/>
    <w:rsid w:val="00DD2055"/>
    <w:rsid w:val="00E238C0"/>
    <w:rsid w:val="00E566D8"/>
    <w:rsid w:val="00E62EC5"/>
    <w:rsid w:val="00F207CD"/>
    <w:rsid w:val="00FD6E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40BA668"/>
  <w15:docId w15:val="{37B2BB2C-DB61-4810-8517-568CA687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2EC5"/>
    <w:rPr>
      <w:rFonts w:ascii="Arial" w:hAnsi="Arial"/>
      <w:sz w:val="24"/>
    </w:rPr>
  </w:style>
  <w:style w:type="paragraph" w:styleId="Heading1">
    <w:name w:val="heading 1"/>
    <w:basedOn w:val="Normal"/>
    <w:next w:val="Normal"/>
    <w:qFormat/>
    <w:rsid w:val="00E62EC5"/>
    <w:pPr>
      <w:keepNext/>
      <w:outlineLvl w:val="0"/>
    </w:pPr>
    <w:rPr>
      <w:b/>
    </w:rPr>
  </w:style>
  <w:style w:type="paragraph" w:styleId="Heading2">
    <w:name w:val="heading 2"/>
    <w:basedOn w:val="Normal"/>
    <w:next w:val="Normal"/>
    <w:qFormat/>
    <w:rsid w:val="00E62EC5"/>
    <w:pPr>
      <w:keepNext/>
      <w:jc w:val="center"/>
      <w:outlineLvl w:val="1"/>
    </w:pPr>
    <w:rPr>
      <w:b/>
    </w:rPr>
  </w:style>
  <w:style w:type="paragraph" w:styleId="Heading3">
    <w:name w:val="heading 3"/>
    <w:basedOn w:val="Normal"/>
    <w:next w:val="Normal"/>
    <w:qFormat/>
    <w:rsid w:val="00E62EC5"/>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52F3"/>
    <w:pPr>
      <w:tabs>
        <w:tab w:val="center" w:pos="4320"/>
        <w:tab w:val="right" w:pos="8640"/>
      </w:tabs>
    </w:pPr>
  </w:style>
  <w:style w:type="paragraph" w:styleId="Footer">
    <w:name w:val="footer"/>
    <w:basedOn w:val="Normal"/>
    <w:rsid w:val="00DB52F3"/>
    <w:pPr>
      <w:tabs>
        <w:tab w:val="center" w:pos="4320"/>
        <w:tab w:val="right" w:pos="8640"/>
      </w:tabs>
    </w:pPr>
  </w:style>
  <w:style w:type="character" w:styleId="PageNumber">
    <w:name w:val="page number"/>
    <w:basedOn w:val="DefaultParagraphFont"/>
    <w:rsid w:val="00217ACC"/>
  </w:style>
  <w:style w:type="table" w:styleId="TableGrid">
    <w:name w:val="Table Grid"/>
    <w:basedOn w:val="TableNormal"/>
    <w:rsid w:val="00A65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66D8"/>
    <w:pPr>
      <w:ind w:left="720"/>
      <w:contextualSpacing/>
    </w:pPr>
  </w:style>
  <w:style w:type="character" w:styleId="CommentReference">
    <w:name w:val="annotation reference"/>
    <w:uiPriority w:val="99"/>
    <w:semiHidden/>
    <w:rsid w:val="00E566D8"/>
    <w:rPr>
      <w:sz w:val="16"/>
      <w:szCs w:val="16"/>
    </w:rPr>
  </w:style>
  <w:style w:type="paragraph" w:styleId="CommentText">
    <w:name w:val="annotation text"/>
    <w:basedOn w:val="Normal"/>
    <w:link w:val="CommentTextChar"/>
    <w:uiPriority w:val="99"/>
    <w:semiHidden/>
    <w:rsid w:val="00E566D8"/>
    <w:rPr>
      <w:rFonts w:ascii="Times New Roman" w:hAnsi="Times New Roman"/>
      <w:sz w:val="20"/>
    </w:rPr>
  </w:style>
  <w:style w:type="character" w:customStyle="1" w:styleId="CommentTextChar">
    <w:name w:val="Comment Text Char"/>
    <w:basedOn w:val="DefaultParagraphFont"/>
    <w:link w:val="CommentText"/>
    <w:uiPriority w:val="99"/>
    <w:semiHidden/>
    <w:rsid w:val="00E566D8"/>
  </w:style>
  <w:style w:type="paragraph" w:styleId="BalloonText">
    <w:name w:val="Balloon Text"/>
    <w:basedOn w:val="Normal"/>
    <w:link w:val="BalloonTextChar"/>
    <w:rsid w:val="00E566D8"/>
    <w:rPr>
      <w:rFonts w:ascii="Segoe UI" w:hAnsi="Segoe UI" w:cs="Segoe UI"/>
      <w:sz w:val="18"/>
      <w:szCs w:val="18"/>
    </w:rPr>
  </w:style>
  <w:style w:type="character" w:customStyle="1" w:styleId="BalloonTextChar">
    <w:name w:val="Balloon Text Char"/>
    <w:basedOn w:val="DefaultParagraphFont"/>
    <w:link w:val="BalloonText"/>
    <w:rsid w:val="00E566D8"/>
    <w:rPr>
      <w:rFonts w:ascii="Segoe UI" w:hAnsi="Segoe UI" w:cs="Segoe UI"/>
      <w:sz w:val="18"/>
      <w:szCs w:val="18"/>
    </w:rPr>
  </w:style>
  <w:style w:type="character" w:styleId="Hyperlink">
    <w:name w:val="Hyperlink"/>
    <w:uiPriority w:val="99"/>
    <w:rsid w:val="006171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56033">
      <w:bodyDiv w:val="1"/>
      <w:marLeft w:val="0"/>
      <w:marRight w:val="0"/>
      <w:marTop w:val="0"/>
      <w:marBottom w:val="0"/>
      <w:divBdr>
        <w:top w:val="none" w:sz="0" w:space="0" w:color="auto"/>
        <w:left w:val="none" w:sz="0" w:space="0" w:color="auto"/>
        <w:bottom w:val="none" w:sz="0" w:space="0" w:color="auto"/>
        <w:right w:val="none" w:sz="0" w:space="0" w:color="auto"/>
      </w:divBdr>
      <w:divsChild>
        <w:div w:id="612442545">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sepideasthatwork.org/find-center-or-grant/find-a-cen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1191</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RFP 19-007: Special Education Technical Assistance Partnership for Equity - Appendix 4 Workplan TAP for Equity</vt:lpstr>
    </vt:vector>
  </TitlesOfParts>
  <Company/>
  <LinksUpToDate>false</LinksUpToDate>
  <CharactersWithSpaces>8034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19-007: Special Education Technical Assistance Partnership for Equity - Appendix 4 Workplan TAP for Equity</dc:title>
  <dc:creator>New York State Education Department</dc:creator>
  <cp:lastModifiedBy>Ron Gill</cp:lastModifiedBy>
  <cp:revision>5</cp:revision>
  <cp:lastPrinted>2009-02-19T18:10:00Z</cp:lastPrinted>
  <dcterms:created xsi:type="dcterms:W3CDTF">2018-11-29T19:07:00Z</dcterms:created>
  <dcterms:modified xsi:type="dcterms:W3CDTF">2018-12-18T17:08:00Z</dcterms:modified>
</cp:coreProperties>
</file>