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C5CE935"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A46C1C">
        <w:rPr>
          <w:rFonts w:ascii="Arial" w:hAnsi="Arial" w:cs="Arial"/>
          <w:sz w:val="20"/>
        </w:rPr>
        <w:t>2</w:t>
      </w:r>
      <w:r w:rsidR="009415C0">
        <w:rPr>
          <w:rFonts w:ascii="Arial" w:hAnsi="Arial" w:cs="Arial"/>
          <w:sz w:val="20"/>
        </w:rPr>
        <w:t>-0</w:t>
      </w:r>
      <w:r w:rsidR="00A46C1C">
        <w:rPr>
          <w:rFonts w:ascii="Arial" w:hAnsi="Arial" w:cs="Arial"/>
          <w:sz w:val="20"/>
        </w:rPr>
        <w:t>14</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4A233976" w14:textId="77777777" w:rsidR="00A46C1C" w:rsidRDefault="00A46C1C">
      <w:pPr>
        <w:rPr>
          <w:rFonts w:cs="Arial"/>
          <w:b/>
          <w:sz w:val="20"/>
        </w:rPr>
      </w:pPr>
    </w:p>
    <w:p w14:paraId="3498774C" w14:textId="1BC75C0E" w:rsidR="009D0EF9" w:rsidRPr="007945C4" w:rsidRDefault="009D0EF9">
      <w:pPr>
        <w:rPr>
          <w:rFonts w:cs="Arial"/>
          <w:sz w:val="20"/>
          <w:u w:val="single"/>
        </w:rPr>
      </w:pPr>
      <w:r w:rsidRPr="007945C4">
        <w:rPr>
          <w:rFonts w:cs="Arial"/>
          <w:b/>
          <w:sz w:val="20"/>
        </w:rPr>
        <w:t>Title:</w:t>
      </w:r>
      <w:r w:rsidR="00A46C1C">
        <w:rPr>
          <w:rFonts w:cs="Arial"/>
          <w:b/>
          <w:sz w:val="20"/>
        </w:rPr>
        <w:t xml:space="preserve"> </w:t>
      </w:r>
      <w:r w:rsidR="00A46C1C" w:rsidRPr="00A46C1C">
        <w:rPr>
          <w:rFonts w:cs="Arial"/>
          <w:b/>
          <w:sz w:val="20"/>
        </w:rPr>
        <w:t>American Rescue Plan - Homeless Children and Youth Technical Assistance Center</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7AA84EAF"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A46C1C">
              <w:rPr>
                <w:rFonts w:cs="Arial"/>
                <w:b/>
                <w:sz w:val="20"/>
              </w:rPr>
              <w:t>22-014</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0D1FD11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A46C1C">
              <w:rPr>
                <w:rFonts w:cs="Arial"/>
                <w:b/>
                <w:sz w:val="20"/>
              </w:rPr>
              <w:t>22-014</w:t>
            </w:r>
          </w:p>
        </w:tc>
      </w:tr>
      <w:tr w:rsidR="007A1A3B" w:rsidRPr="001B3233" w14:paraId="259E7FD7" w14:textId="77777777" w:rsidTr="002E64F9">
        <w:trPr>
          <w:jc w:val="center"/>
        </w:trPr>
        <w:tc>
          <w:tcPr>
            <w:tcW w:w="5403" w:type="dxa"/>
          </w:tcPr>
          <w:p w14:paraId="3E56DE64" w14:textId="16E055B5"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A46C1C">
              <w:rPr>
                <w:rFonts w:cs="Arial"/>
                <w:b/>
                <w:sz w:val="20"/>
              </w:rPr>
              <w:t>22-014</w:t>
            </w:r>
          </w:p>
        </w:tc>
      </w:tr>
      <w:tr w:rsidR="007A1A3B" w:rsidRPr="001B3233" w14:paraId="777F0E46" w14:textId="77777777" w:rsidTr="002E64F9">
        <w:trPr>
          <w:jc w:val="center"/>
        </w:trPr>
        <w:tc>
          <w:tcPr>
            <w:tcW w:w="5403" w:type="dxa"/>
          </w:tcPr>
          <w:p w14:paraId="4C9B28F5" w14:textId="642D114C"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A46C1C">
              <w:rPr>
                <w:rFonts w:cs="Arial"/>
                <w:b/>
                <w:sz w:val="20"/>
              </w:rPr>
              <w:t>22-014</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2D0B3459" w:rsidR="007A1A3B" w:rsidRPr="00C80BE0" w:rsidRDefault="007A1A3B" w:rsidP="007A1A3B">
      <w:pPr>
        <w:jc w:val="center"/>
        <w:rPr>
          <w:rFonts w:cs="Arial"/>
          <w:sz w:val="20"/>
        </w:rPr>
      </w:pPr>
      <w:r w:rsidRPr="00C80BE0">
        <w:rPr>
          <w:rFonts w:eastAsia="Arial" w:cs="Arial"/>
          <w:sz w:val="20"/>
        </w:rPr>
        <w:t xml:space="preserve">Subject line: "BID SUBMISSION RFP </w:t>
      </w:r>
      <w:r w:rsidR="00A46C1C">
        <w:rPr>
          <w:rFonts w:eastAsia="Arial" w:cs="Arial"/>
          <w:sz w:val="20"/>
        </w:rPr>
        <w:t>22-014</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54E5483"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A46C1C">
        <w:rPr>
          <w:rFonts w:eastAsia="Arial" w:cs="Arial"/>
          <w:sz w:val="20"/>
          <w:szCs w:val="20"/>
        </w:rPr>
        <w:t>22-014</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30DB65B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A46C1C">
        <w:rPr>
          <w:rFonts w:cs="Arial"/>
          <w:b/>
          <w:sz w:val="20"/>
        </w:rPr>
        <w:t>22-014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62266"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62266"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162266"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162266"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62266">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r w:rsidR="009D0EF9" w:rsidRPr="00A46C1C"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A46C1C" w:rsidRDefault="009D0EF9" w:rsidP="00471B27">
            <w:pPr>
              <w:pStyle w:val="BodyTextIndent3"/>
              <w:ind w:left="0"/>
              <w:jc w:val="both"/>
              <w:rPr>
                <w:rFonts w:cs="Arial"/>
                <w:sz w:val="20"/>
                <w:szCs w:val="20"/>
              </w:rPr>
            </w:pPr>
            <w:r w:rsidRPr="00A46C1C">
              <w:rPr>
                <w:rFonts w:cs="Arial"/>
                <w:sz w:val="20"/>
                <w:szCs w:val="20"/>
              </w:rPr>
              <w:t xml:space="preserve">Mandatory Requirements Certification Form </w:t>
            </w:r>
            <w:r w:rsidR="00C24AF3" w:rsidRPr="00A46C1C">
              <w:rPr>
                <w:rFonts w:cs="Arial"/>
                <w:sz w:val="20"/>
                <w:szCs w:val="20"/>
              </w:rPr>
              <w:t>–</w:t>
            </w:r>
            <w:r w:rsidRPr="00A46C1C">
              <w:rPr>
                <w:rFonts w:cs="Arial"/>
                <w:sz w:val="20"/>
                <w:szCs w:val="20"/>
              </w:rPr>
              <w:t xml:space="preserve"> Signature</w:t>
            </w:r>
            <w:r w:rsidR="00C24AF3" w:rsidRPr="00A46C1C">
              <w:rPr>
                <w:rFonts w:cs="Arial"/>
                <w:sz w:val="20"/>
                <w:szCs w:val="20"/>
              </w:rPr>
              <w:t xml:space="preserve"> </w:t>
            </w:r>
            <w:r w:rsidRPr="00A46C1C">
              <w:rPr>
                <w:rFonts w:cs="Arial"/>
                <w:sz w:val="20"/>
                <w:szCs w:val="20"/>
              </w:rPr>
              <w:t>Required.</w:t>
            </w:r>
          </w:p>
        </w:tc>
        <w:tc>
          <w:tcPr>
            <w:tcW w:w="1260" w:type="dxa"/>
          </w:tcPr>
          <w:p w14:paraId="7566EC8C" w14:textId="77777777" w:rsidR="009D0EF9" w:rsidRPr="00A46C1C" w:rsidRDefault="009D0EF9"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A46C1C">
              <w:rPr>
                <w:rFonts w:cs="Arial"/>
                <w:sz w:val="20"/>
                <w:szCs w:val="20"/>
              </w:rPr>
              <w:fldChar w:fldCharType="end"/>
            </w:r>
          </w:p>
        </w:tc>
      </w:tr>
      <w:tr w:rsidR="00C24AF3" w:rsidRPr="00A46C1C" w14:paraId="4CA66EAD" w14:textId="77777777" w:rsidTr="00471B27">
        <w:trPr>
          <w:jc w:val="center"/>
        </w:trPr>
        <w:tc>
          <w:tcPr>
            <w:tcW w:w="918" w:type="dxa"/>
          </w:tcPr>
          <w:p w14:paraId="507F6111" w14:textId="77777777" w:rsidR="00C24AF3" w:rsidRPr="00A46C1C" w:rsidRDefault="00C24AF3" w:rsidP="00471B27">
            <w:pPr>
              <w:pStyle w:val="BodyTextIndent3"/>
              <w:numPr>
                <w:ilvl w:val="0"/>
                <w:numId w:val="38"/>
              </w:numPr>
              <w:jc w:val="both"/>
              <w:rPr>
                <w:rFonts w:cs="Arial"/>
                <w:sz w:val="20"/>
                <w:szCs w:val="20"/>
              </w:rPr>
            </w:pPr>
          </w:p>
        </w:tc>
        <w:tc>
          <w:tcPr>
            <w:tcW w:w="5760" w:type="dxa"/>
          </w:tcPr>
          <w:p w14:paraId="41BBB0F4" w14:textId="4C0B1496" w:rsidR="00C24AF3" w:rsidRPr="00A46C1C" w:rsidRDefault="00C24AF3" w:rsidP="00471B27">
            <w:pPr>
              <w:pStyle w:val="BodyTextIndent3"/>
              <w:ind w:left="0"/>
              <w:jc w:val="both"/>
              <w:rPr>
                <w:rFonts w:cs="Arial"/>
                <w:bCs/>
                <w:color w:val="000000"/>
                <w:sz w:val="20"/>
                <w:szCs w:val="20"/>
              </w:rPr>
            </w:pPr>
            <w:r w:rsidRPr="00A46C1C">
              <w:rPr>
                <w:rFonts w:cs="Arial"/>
                <w:bCs/>
                <w:color w:val="000000"/>
                <w:sz w:val="20"/>
                <w:szCs w:val="20"/>
              </w:rPr>
              <w:t>Technical Assistance Center (TAC) Certification Form – Signature Required</w:t>
            </w:r>
          </w:p>
        </w:tc>
        <w:tc>
          <w:tcPr>
            <w:tcW w:w="1260" w:type="dxa"/>
          </w:tcPr>
          <w:p w14:paraId="58804A12" w14:textId="2736FF1A" w:rsidR="00C24AF3" w:rsidRPr="00A46C1C" w:rsidRDefault="00C24AF3"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A46C1C">
              <w:rPr>
                <w:rFonts w:cs="Arial"/>
                <w:sz w:val="20"/>
                <w:szCs w:val="20"/>
              </w:rPr>
              <w:fldChar w:fldCharType="end"/>
            </w:r>
          </w:p>
        </w:tc>
      </w:tr>
      <w:tr w:rsidR="00EA5234" w:rsidRPr="00A46C1C" w14:paraId="2917ABF8" w14:textId="77777777" w:rsidTr="00471B27">
        <w:trPr>
          <w:jc w:val="center"/>
        </w:trPr>
        <w:tc>
          <w:tcPr>
            <w:tcW w:w="918" w:type="dxa"/>
          </w:tcPr>
          <w:p w14:paraId="1004710A" w14:textId="77777777" w:rsidR="00EA5234" w:rsidRPr="00A46C1C"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A46C1C" w:rsidRDefault="00EA5234" w:rsidP="00471B27">
            <w:pPr>
              <w:pStyle w:val="BodyTextIndent3"/>
              <w:ind w:left="0"/>
              <w:jc w:val="both"/>
              <w:rPr>
                <w:rFonts w:cs="Arial"/>
                <w:bCs/>
                <w:color w:val="000000"/>
                <w:sz w:val="20"/>
                <w:szCs w:val="20"/>
              </w:rPr>
            </w:pPr>
            <w:r w:rsidRPr="00A46C1C">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A46C1C" w:rsidRDefault="00EA5234"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A46C1C">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A46C1C" w:rsidRDefault="00C24AF3" w:rsidP="00471B27">
            <w:pPr>
              <w:pStyle w:val="BodyTextIndent3"/>
              <w:numPr>
                <w:ilvl w:val="0"/>
                <w:numId w:val="38"/>
              </w:numPr>
              <w:jc w:val="both"/>
              <w:rPr>
                <w:rFonts w:cs="Arial"/>
                <w:sz w:val="20"/>
                <w:szCs w:val="20"/>
              </w:rPr>
            </w:pPr>
          </w:p>
        </w:tc>
        <w:tc>
          <w:tcPr>
            <w:tcW w:w="5760" w:type="dxa"/>
          </w:tcPr>
          <w:p w14:paraId="7E2E2CCA" w14:textId="641B39A7" w:rsidR="00C24AF3" w:rsidRPr="00A46C1C" w:rsidRDefault="00C24AF3" w:rsidP="00471B27">
            <w:pPr>
              <w:pStyle w:val="BodyTextIndent3"/>
              <w:ind w:left="0"/>
              <w:jc w:val="both"/>
              <w:rPr>
                <w:rFonts w:cs="Arial"/>
                <w:bCs/>
                <w:color w:val="000000"/>
                <w:sz w:val="20"/>
                <w:szCs w:val="20"/>
              </w:rPr>
            </w:pPr>
            <w:r w:rsidRPr="00A46C1C">
              <w:rPr>
                <w:rFonts w:cs="Arial"/>
                <w:bCs/>
                <w:color w:val="000000"/>
                <w:sz w:val="20"/>
                <w:szCs w:val="20"/>
              </w:rPr>
              <w:t>Appendix R – Data Privacy Appendix</w:t>
            </w:r>
            <w:r w:rsidR="002401A1" w:rsidRPr="00A46C1C">
              <w:rPr>
                <w:rFonts w:cs="Arial"/>
                <w:bCs/>
                <w:color w:val="000000"/>
                <w:sz w:val="20"/>
                <w:szCs w:val="20"/>
              </w:rPr>
              <w:t xml:space="preserve"> </w:t>
            </w:r>
            <w:r w:rsidR="002401A1" w:rsidRPr="00A46C1C">
              <w:rPr>
                <w:rFonts w:cs="Arial"/>
                <w:bCs/>
                <w:color w:val="000000"/>
                <w:sz w:val="20"/>
              </w:rPr>
              <w:t>(posted separately)</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A46C1C">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292F0DA9"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r w:rsidR="008C2816">
        <w:rPr>
          <w:rFonts w:cs="Arial"/>
          <w:b/>
          <w:sz w:val="20"/>
          <w:szCs w:val="20"/>
        </w:rPr>
        <w:t xml:space="preserve"> –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5F66236E" w:rsidR="009D0EF9" w:rsidRPr="00471B27" w:rsidRDefault="00EB21E7" w:rsidP="00471B27">
            <w:pPr>
              <w:pStyle w:val="BodyTextIndent3"/>
              <w:ind w:left="0"/>
              <w:jc w:val="both"/>
              <w:rPr>
                <w:rFonts w:cs="Arial"/>
                <w:bCs/>
                <w:color w:val="000000"/>
                <w:sz w:val="20"/>
                <w:szCs w:val="20"/>
              </w:rPr>
            </w:pPr>
            <w:r>
              <w:rPr>
                <w:rFonts w:cs="Arial"/>
                <w:bCs/>
                <w:color w:val="000000"/>
                <w:sz w:val="20"/>
                <w:szCs w:val="20"/>
              </w:rPr>
              <w:t xml:space="preserve">Year 1 Detailed Budget </w:t>
            </w:r>
            <w:r w:rsidRPr="00EB21E7">
              <w:rPr>
                <w:rFonts w:cs="Arial"/>
                <w:bCs/>
                <w:color w:val="000000"/>
                <w:sz w:val="20"/>
                <w:szCs w:val="20"/>
              </w:rPr>
              <w:t>(April 1, 2022 – March 31, 2023)</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C6184AF" w:rsidR="009D0EF9" w:rsidRPr="00471B27" w:rsidRDefault="00A46C1C" w:rsidP="00471B27">
            <w:pPr>
              <w:pStyle w:val="BodyTextIndent3"/>
              <w:ind w:left="0"/>
              <w:jc w:val="both"/>
              <w:rPr>
                <w:rFonts w:cs="Arial"/>
                <w:sz w:val="20"/>
                <w:szCs w:val="20"/>
              </w:rPr>
            </w:pPr>
            <w:r>
              <w:rPr>
                <w:rFonts w:cs="Arial"/>
                <w:sz w:val="20"/>
                <w:szCs w:val="20"/>
              </w:rPr>
              <w:t>2.</w:t>
            </w:r>
            <w:r w:rsidR="00C24AF3">
              <w:rPr>
                <w:rFonts w:cs="Arial"/>
                <w:sz w:val="20"/>
                <w:szCs w:val="20"/>
              </w:rPr>
              <w:t xml:space="preserve">5 Year </w:t>
            </w:r>
            <w:r w:rsidR="009D0EF9" w:rsidRPr="00471B27">
              <w:rPr>
                <w:rFonts w:cs="Arial"/>
                <w:sz w:val="20"/>
                <w:szCs w:val="20"/>
              </w:rPr>
              <w:t>Budget Summary</w:t>
            </w:r>
            <w:r w:rsidR="00C24AF3">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2266">
              <w:rPr>
                <w:rFonts w:cs="Arial"/>
                <w:sz w:val="20"/>
                <w:szCs w:val="20"/>
              </w:rPr>
            </w:r>
            <w:r w:rsidR="00162266">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2266">
        <w:rPr>
          <w:rFonts w:cs="Arial"/>
          <w:sz w:val="20"/>
        </w:rPr>
      </w:r>
      <w:r w:rsidR="00162266">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2266">
        <w:rPr>
          <w:rFonts w:cs="Arial"/>
          <w:sz w:val="20"/>
        </w:rPr>
      </w:r>
      <w:r w:rsidR="00162266">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2266">
        <w:rPr>
          <w:rFonts w:cs="Arial"/>
          <w:sz w:val="20"/>
        </w:rPr>
      </w:r>
      <w:r w:rsidR="00162266">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2266">
              <w:rPr>
                <w:rFonts w:cs="Arial"/>
                <w:sz w:val="20"/>
              </w:rPr>
            </w:r>
            <w:r w:rsidR="00162266">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210F17B3"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A46C1C">
        <w:rPr>
          <w:rFonts w:cs="Arial"/>
          <w:sz w:val="20"/>
        </w:rPr>
        <w:t>22-014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1BA37BF7"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A46C1C">
        <w:rPr>
          <w:rFonts w:cs="Arial"/>
          <w:sz w:val="20"/>
        </w:rPr>
        <w:t>22-014</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62266">
              <w:rPr>
                <w:rFonts w:cs="Arial"/>
                <w:sz w:val="20"/>
                <w:szCs w:val="22"/>
              </w:rPr>
            </w:r>
            <w:r w:rsidR="0016226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62266">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62266">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62266">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EB21E7">
              <w:rPr>
                <w:rFonts w:ascii="Arial" w:hAnsi="Arial" w:cs="Arial"/>
                <w:sz w:val="20"/>
                <w:szCs w:val="20"/>
              </w:rPr>
              <w:fldChar w:fldCharType="begin"/>
            </w:r>
            <w:r w:rsidR="00EB21E7">
              <w:rPr>
                <w:rFonts w:ascii="Arial" w:hAnsi="Arial" w:cs="Arial"/>
                <w:sz w:val="20"/>
                <w:szCs w:val="20"/>
              </w:rPr>
              <w:instrText xml:space="preserve"> INCLUDEPICTURE  "http://atwork.nysed.gov/cafe/images/usnyseal.gif" \* MERGEFORMATINET </w:instrText>
            </w:r>
            <w:r w:rsidR="00EB21E7">
              <w:rPr>
                <w:rFonts w:ascii="Arial" w:hAnsi="Arial" w:cs="Arial"/>
                <w:sz w:val="20"/>
                <w:szCs w:val="20"/>
              </w:rPr>
              <w:fldChar w:fldCharType="separate"/>
            </w:r>
            <w:r w:rsidR="00162266">
              <w:rPr>
                <w:rFonts w:ascii="Arial" w:hAnsi="Arial" w:cs="Arial"/>
                <w:sz w:val="20"/>
                <w:szCs w:val="20"/>
              </w:rPr>
              <w:fldChar w:fldCharType="begin"/>
            </w:r>
            <w:r w:rsidR="00162266">
              <w:rPr>
                <w:rFonts w:ascii="Arial" w:hAnsi="Arial" w:cs="Arial"/>
                <w:sz w:val="20"/>
                <w:szCs w:val="20"/>
              </w:rPr>
              <w:instrText xml:space="preserve"> </w:instrText>
            </w:r>
            <w:r w:rsidR="00162266">
              <w:rPr>
                <w:rFonts w:ascii="Arial" w:hAnsi="Arial" w:cs="Arial"/>
                <w:sz w:val="20"/>
                <w:szCs w:val="20"/>
              </w:rPr>
              <w:instrText>INCLUDEPICTURE  "http://atwork.nysed.gov/cafe/images/usnyseal.gif" \* MERGEFORMATINET</w:instrText>
            </w:r>
            <w:r w:rsidR="00162266">
              <w:rPr>
                <w:rFonts w:ascii="Arial" w:hAnsi="Arial" w:cs="Arial"/>
                <w:sz w:val="20"/>
                <w:szCs w:val="20"/>
              </w:rPr>
              <w:instrText xml:space="preserve"> </w:instrText>
            </w:r>
            <w:r w:rsidR="00162266">
              <w:rPr>
                <w:rFonts w:ascii="Arial" w:hAnsi="Arial" w:cs="Arial"/>
                <w:sz w:val="20"/>
                <w:szCs w:val="20"/>
              </w:rPr>
              <w:fldChar w:fldCharType="separate"/>
            </w:r>
            <w:r w:rsidR="00162266">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162266">
              <w:rPr>
                <w:rFonts w:ascii="Arial" w:hAnsi="Arial" w:cs="Arial"/>
                <w:sz w:val="20"/>
                <w:szCs w:val="20"/>
              </w:rPr>
              <w:fldChar w:fldCharType="end"/>
            </w:r>
            <w:r w:rsidR="00EB21E7">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62266">
              <w:rPr>
                <w:rFonts w:ascii="Arial" w:hAnsi="Arial" w:cs="Arial"/>
                <w:sz w:val="20"/>
                <w:szCs w:val="20"/>
              </w:rPr>
            </w:r>
            <w:r w:rsidR="00162266">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516560FE" w14:textId="77777777" w:rsidR="009D0EF9" w:rsidRDefault="00A46C1C" w:rsidP="00A46C1C">
            <w:r w:rsidRPr="00A46C1C">
              <w:t>The ARP-HCY TAC must be able to serve all geographic areas of New York State, including New York City. Therefore, the bidder must have at least a satellite office currently established within one of the five boroughs: Bronx, Manhattan, Queens, Brooklyn, or Staten Island, as this area historically has the highest concentration of homeless children and youth and agencies (including the New York City Department of Education) that assist the temporarily housed in New York State. This office must be operational at the time of bid submission.</w:t>
            </w:r>
          </w:p>
          <w:p w14:paraId="2E28C7B2" w14:textId="18B42112" w:rsidR="00A46C1C" w:rsidRPr="00A46C1C" w:rsidRDefault="00A46C1C" w:rsidP="00A46C1C"/>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2266">
              <w:rPr>
                <w:rFonts w:cs="Calibri"/>
                <w:b/>
                <w:sz w:val="22"/>
                <w:szCs w:val="22"/>
              </w:rPr>
            </w:r>
            <w:r w:rsidR="0016226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2266">
              <w:rPr>
                <w:rFonts w:cs="Calibri"/>
                <w:b/>
                <w:sz w:val="22"/>
                <w:szCs w:val="22"/>
              </w:rPr>
            </w:r>
            <w:r w:rsidR="00162266">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1FCFBD9F" w14:textId="77777777" w:rsidR="00BB733D" w:rsidRDefault="00BB733D" w:rsidP="00BB733D">
      <w:pPr>
        <w:pStyle w:val="BodyTextIndent"/>
        <w:ind w:left="0"/>
        <w:jc w:val="center"/>
        <w:rPr>
          <w:color w:val="000000"/>
        </w:rPr>
      </w:pPr>
      <w:r w:rsidRPr="00A46C1C">
        <w:rPr>
          <w:b/>
          <w:color w:val="000000"/>
          <w:sz w:val="28"/>
        </w:rPr>
        <w:lastRenderedPageBreak/>
        <w:t>Technical Assistance Center (TAC) Certification</w:t>
      </w:r>
    </w:p>
    <w:p w14:paraId="7FAA413E" w14:textId="77777777" w:rsidR="00BB733D" w:rsidRDefault="00BB733D" w:rsidP="00BB733D">
      <w:pPr>
        <w:pStyle w:val="BodyTextIndent"/>
        <w:ind w:left="360"/>
        <w:jc w:val="both"/>
        <w:rPr>
          <w:color w:val="000000"/>
        </w:rPr>
      </w:pPr>
    </w:p>
    <w:p w14:paraId="4195E87A" w14:textId="77777777" w:rsidR="00BB733D" w:rsidRDefault="00BB733D" w:rsidP="00BB733D">
      <w:pPr>
        <w:pStyle w:val="BodyTextIndent"/>
        <w:numPr>
          <w:ilvl w:val="0"/>
          <w:numId w:val="45"/>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F045B06"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All tasks and activities required to be provided by the TAC will be explicitly listed in each contract. Changes in scope, amount, </w:t>
      </w:r>
      <w:proofErr w:type="gramStart"/>
      <w:r>
        <w:rPr>
          <w:color w:val="000000"/>
        </w:rPr>
        <w:t>period</w:t>
      </w:r>
      <w:proofErr w:type="gramEnd"/>
      <w:r>
        <w:rPr>
          <w:color w:val="000000"/>
        </w:rPr>
        <w:t xml:space="preserve"> or budget are subject to review by the Contract Administration Unit and may also require an amendment approved by the Office of the State Comptroller.</w:t>
      </w:r>
    </w:p>
    <w:p w14:paraId="5524D2B0" w14:textId="77777777" w:rsidR="00BB733D" w:rsidRDefault="00BB733D" w:rsidP="00BB733D">
      <w:pPr>
        <w:numPr>
          <w:ilvl w:val="0"/>
          <w:numId w:val="45"/>
        </w:numPr>
        <w:tabs>
          <w:tab w:val="clear" w:pos="720"/>
          <w:tab w:val="num" w:pos="360"/>
        </w:tabs>
        <w:ind w:left="360"/>
        <w:jc w:val="both"/>
        <w:rPr>
          <w:color w:val="000000"/>
        </w:rPr>
      </w:pPr>
      <w:r>
        <w:rPr>
          <w:color w:val="000000"/>
        </w:rPr>
        <w:t xml:space="preserve">TACs will be reimbursed for allowable expenses that are actual, </w:t>
      </w:r>
      <w:proofErr w:type="gramStart"/>
      <w:r>
        <w:rPr>
          <w:color w:val="000000"/>
        </w:rPr>
        <w:t>reasonable</w:t>
      </w:r>
      <w:proofErr w:type="gramEnd"/>
      <w:r>
        <w:rPr>
          <w:color w:val="000000"/>
        </w:rPr>
        <w:t xml:space="preserve"> and necessary as authorized in the contract and based on documentation specified by Fiscal Management and described in each contract.</w:t>
      </w:r>
    </w:p>
    <w:p w14:paraId="00B39E28" w14:textId="77777777" w:rsidR="00BB733D" w:rsidRDefault="00BB733D" w:rsidP="00BB733D">
      <w:pPr>
        <w:numPr>
          <w:ilvl w:val="0"/>
          <w:numId w:val="45"/>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5C70D72" w14:textId="77777777" w:rsidR="00BB733D" w:rsidRDefault="00BB733D" w:rsidP="00BB733D">
      <w:pPr>
        <w:numPr>
          <w:ilvl w:val="0"/>
          <w:numId w:val="45"/>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05B88A3"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295995C"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1029253B" w14:textId="77777777" w:rsidR="00BB733D" w:rsidRDefault="00BB733D" w:rsidP="00BB733D">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158614DD"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53DB2040" w14:textId="77777777" w:rsidR="00BB733D" w:rsidRDefault="00BB733D" w:rsidP="00BB733D">
      <w:pPr>
        <w:numPr>
          <w:ilvl w:val="0"/>
          <w:numId w:val="46"/>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18711969"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w:t>
      </w:r>
      <w:proofErr w:type="gramStart"/>
      <w:r>
        <w:rPr>
          <w:color w:val="000000"/>
        </w:rPr>
        <w:t>teachers</w:t>
      </w:r>
      <w:proofErr w:type="gramEnd"/>
      <w:r>
        <w:rPr>
          <w:color w:val="000000"/>
        </w:rPr>
        <w:t xml:space="preserve">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45E882AC"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03E9DCCD" w14:textId="77777777" w:rsidR="00BB733D" w:rsidRDefault="00BB733D" w:rsidP="00BB733D">
      <w:pPr>
        <w:numPr>
          <w:ilvl w:val="0"/>
          <w:numId w:val="46"/>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w:t>
      </w:r>
      <w:r>
        <w:rPr>
          <w:color w:val="000000"/>
        </w:rPr>
        <w:lastRenderedPageBreak/>
        <w:t xml:space="preserve">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22" w:history="1">
        <w:r w:rsidRPr="00076C18">
          <w:rPr>
            <w:rStyle w:val="Hyperlink"/>
          </w:rPr>
          <w:t xml:space="preserve">GSA </w:t>
        </w:r>
        <w:r>
          <w:rPr>
            <w:rStyle w:val="Hyperlink"/>
          </w:rPr>
          <w:t>rates</w:t>
        </w:r>
        <w:r w:rsidRPr="00076C18">
          <w:rPr>
            <w:rStyle w:val="Hyperlink"/>
          </w:rPr>
          <w:t xml:space="preserve"> for NYS</w:t>
        </w:r>
      </w:hyperlink>
      <w:r>
        <w:rPr>
          <w:color w:val="000000"/>
        </w:rPr>
        <w:t>. Note, the amounts claimed must be actual expenses incurred.  The per diems are maximums.  Exceptions to these limitations require the prior approval of the Deputy Commissioner and the CFO.</w:t>
      </w:r>
    </w:p>
    <w:p w14:paraId="3DC84F8F" w14:textId="77777777" w:rsidR="00BB733D" w:rsidRDefault="00BB733D" w:rsidP="00BB733D">
      <w:pPr>
        <w:pStyle w:val="BodyText"/>
        <w:numPr>
          <w:ilvl w:val="0"/>
          <w:numId w:val="46"/>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w:t>
      </w:r>
      <w:proofErr w:type="gramStart"/>
      <w:r>
        <w:rPr>
          <w:rFonts w:ascii="Arial" w:hAnsi="Arial"/>
          <w:color w:val="000000"/>
          <w:sz w:val="24"/>
        </w:rPr>
        <w:t>entertainment</w:t>
      </w:r>
      <w:proofErr w:type="gramEnd"/>
      <w:r>
        <w:rPr>
          <w:rFonts w:ascii="Arial" w:hAnsi="Arial"/>
          <w:color w:val="000000"/>
          <w:sz w:val="24"/>
        </w:rPr>
        <w:t xml:space="preserve"> and expenses that violate the State’s Ethics Law. </w:t>
      </w:r>
    </w:p>
    <w:p w14:paraId="48A0E56F" w14:textId="77777777" w:rsidR="00BB733D" w:rsidRDefault="00BB733D" w:rsidP="00BB733D">
      <w:pPr>
        <w:pStyle w:val="BodyText"/>
        <w:jc w:val="both"/>
        <w:rPr>
          <w:rFonts w:ascii="Arial" w:hAnsi="Arial"/>
          <w:color w:val="000000"/>
          <w:sz w:val="24"/>
        </w:rPr>
      </w:pPr>
    </w:p>
    <w:p w14:paraId="5F8EADE9" w14:textId="77777777" w:rsidR="00BB733D" w:rsidRDefault="00BB733D" w:rsidP="00BB733D">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7FB2B4A2" w14:textId="77777777" w:rsidR="00BB733D" w:rsidRDefault="00BB733D" w:rsidP="00BB733D">
      <w:pPr>
        <w:ind w:left="360"/>
        <w:jc w:val="both"/>
        <w:rPr>
          <w:b/>
          <w:color w:val="000000"/>
        </w:rPr>
      </w:pPr>
    </w:p>
    <w:p w14:paraId="05C8A7C3" w14:textId="77777777" w:rsidR="00BB733D" w:rsidRPr="000158DA" w:rsidRDefault="00BB733D" w:rsidP="00BB733D">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7DD88F85" w14:textId="77777777" w:rsidR="00BB733D" w:rsidRDefault="00BB733D" w:rsidP="00BB733D">
      <w:pPr>
        <w:ind w:left="360"/>
        <w:jc w:val="both"/>
        <w:rPr>
          <w:color w:val="000000"/>
        </w:rPr>
      </w:pPr>
    </w:p>
    <w:p w14:paraId="7806DD8B" w14:textId="77777777" w:rsidR="00BB733D" w:rsidRDefault="00BB733D" w:rsidP="00BB733D">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3A6E23FE" w14:textId="77777777" w:rsidR="00BB733D" w:rsidRDefault="00BB733D" w:rsidP="00BB733D">
      <w:pPr>
        <w:jc w:val="both"/>
        <w:rPr>
          <w:color w:val="000000"/>
        </w:rPr>
      </w:pPr>
    </w:p>
    <w:p w14:paraId="2E67A2EA" w14:textId="77777777" w:rsidR="00BB733D" w:rsidRDefault="00BB733D" w:rsidP="00BB733D">
      <w:pPr>
        <w:pBdr>
          <w:bottom w:val="single" w:sz="4" w:space="1" w:color="auto"/>
        </w:pBdr>
        <w:jc w:val="both"/>
        <w:rPr>
          <w:color w:val="000000"/>
        </w:rPr>
      </w:pPr>
      <w:r>
        <w:rPr>
          <w:color w:val="000000"/>
        </w:rPr>
        <w:t>Contractor Name</w:t>
      </w:r>
    </w:p>
    <w:p w14:paraId="58E1A41A" w14:textId="77777777" w:rsidR="00BB733D" w:rsidRDefault="00BB733D" w:rsidP="00BB733D">
      <w:pPr>
        <w:jc w:val="both"/>
        <w:rPr>
          <w:color w:val="000000"/>
        </w:rPr>
      </w:pPr>
    </w:p>
    <w:p w14:paraId="63616304" w14:textId="77777777" w:rsidR="00BB733D" w:rsidRDefault="00BB733D" w:rsidP="00BB733D">
      <w:pPr>
        <w:pBdr>
          <w:bottom w:val="single" w:sz="4" w:space="1" w:color="auto"/>
        </w:pBdr>
        <w:jc w:val="both"/>
        <w:rPr>
          <w:color w:val="000000"/>
        </w:rPr>
      </w:pPr>
      <w:r>
        <w:rPr>
          <w:color w:val="000000"/>
        </w:rPr>
        <w:t xml:space="preserve">Signature     </w:t>
      </w:r>
    </w:p>
    <w:p w14:paraId="2A208E09" w14:textId="77777777" w:rsidR="00BB733D" w:rsidRDefault="00BB733D" w:rsidP="00BB733D">
      <w:pPr>
        <w:jc w:val="both"/>
        <w:rPr>
          <w:color w:val="000000"/>
        </w:rPr>
      </w:pPr>
    </w:p>
    <w:p w14:paraId="3DF5B33B" w14:textId="77777777" w:rsidR="00BB733D" w:rsidRDefault="00BB733D" w:rsidP="00BB733D">
      <w:pPr>
        <w:pBdr>
          <w:bottom w:val="single" w:sz="4" w:space="1" w:color="auto"/>
        </w:pBdr>
        <w:jc w:val="both"/>
        <w:rPr>
          <w:color w:val="000000"/>
        </w:rPr>
      </w:pPr>
      <w:r>
        <w:rPr>
          <w:color w:val="000000"/>
        </w:rPr>
        <w:t>Title</w:t>
      </w:r>
      <w:r>
        <w:rPr>
          <w:color w:val="000000"/>
        </w:rPr>
        <w:tab/>
      </w:r>
      <w:r>
        <w:rPr>
          <w:color w:val="000000"/>
        </w:rPr>
        <w:tab/>
      </w:r>
    </w:p>
    <w:p w14:paraId="15E9AE9C" w14:textId="77777777" w:rsidR="00BB733D" w:rsidRDefault="00BB733D" w:rsidP="00BB733D">
      <w:pPr>
        <w:jc w:val="both"/>
        <w:rPr>
          <w:color w:val="000000"/>
        </w:rPr>
      </w:pPr>
    </w:p>
    <w:p w14:paraId="40DC57C9" w14:textId="77777777" w:rsidR="00BB733D" w:rsidRDefault="00BB733D" w:rsidP="00BB733D">
      <w:pPr>
        <w:pBdr>
          <w:bottom w:val="single" w:sz="4" w:space="1" w:color="auto"/>
        </w:pBdr>
        <w:jc w:val="both"/>
        <w:rPr>
          <w:color w:val="000000"/>
        </w:rPr>
      </w:pPr>
      <w:r>
        <w:rPr>
          <w:color w:val="000000"/>
        </w:rPr>
        <w:t>Company Name</w:t>
      </w:r>
    </w:p>
    <w:p w14:paraId="60208DF0" w14:textId="77777777" w:rsidR="00BB733D" w:rsidRDefault="00BB733D" w:rsidP="00BB733D">
      <w:pPr>
        <w:jc w:val="both"/>
        <w:rPr>
          <w:color w:val="000000"/>
        </w:rPr>
      </w:pPr>
    </w:p>
    <w:p w14:paraId="5BF21ACF" w14:textId="77777777" w:rsidR="00BB733D" w:rsidRDefault="00BB733D" w:rsidP="00BB733D">
      <w:pPr>
        <w:pBdr>
          <w:bottom w:val="single" w:sz="4" w:space="1" w:color="auto"/>
        </w:pBdr>
        <w:jc w:val="both"/>
        <w:rPr>
          <w:color w:val="000000"/>
        </w:rPr>
      </w:pPr>
      <w:r>
        <w:rPr>
          <w:color w:val="000000"/>
        </w:rPr>
        <w:t>Date</w:t>
      </w:r>
    </w:p>
    <w:p w14:paraId="71FB633E" w14:textId="77777777" w:rsidR="00BB733D" w:rsidRDefault="00BB733D" w:rsidP="00BB733D">
      <w:pPr>
        <w:jc w:val="both"/>
        <w:rPr>
          <w:color w:val="000000"/>
        </w:rPr>
      </w:pPr>
    </w:p>
    <w:p w14:paraId="541B3EE1" w14:textId="77777777" w:rsidR="00BB733D" w:rsidRDefault="00BB733D" w:rsidP="00BB733D">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3448133C" w14:textId="77777777" w:rsidR="00BB733D" w:rsidRDefault="00BB733D" w:rsidP="00BB733D"/>
    <w:p w14:paraId="4C16A1F0" w14:textId="77777777" w:rsidR="00BB733D" w:rsidRDefault="00BB733D" w:rsidP="00BB733D">
      <w:pPr>
        <w:spacing w:line="720" w:lineRule="auto"/>
        <w:jc w:val="center"/>
        <w:rPr>
          <w:rFonts w:cs="Arial"/>
          <w:b/>
          <w:sz w:val="48"/>
          <w:szCs w:val="48"/>
        </w:rPr>
        <w:sectPr w:rsidR="00BB733D">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825492C" w:rsidR="00765B28" w:rsidRDefault="00765B28">
    <w:pPr>
      <w:pStyle w:val="Header"/>
      <w:rPr>
        <w:sz w:val="22"/>
      </w:rPr>
    </w:pPr>
    <w:r>
      <w:rPr>
        <w:rFonts w:ascii="Arial" w:hAnsi="Arial"/>
        <w:sz w:val="25"/>
      </w:rPr>
      <w:t>RFP #</w:t>
    </w:r>
    <w:r w:rsidR="00A46C1C">
      <w:rPr>
        <w:rFonts w:ascii="Arial" w:hAnsi="Arial"/>
        <w:sz w:val="25"/>
      </w:rPr>
      <w:t>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E9E"/>
    <w:rsid w:val="00157E48"/>
    <w:rsid w:val="00162266"/>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C2816"/>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6C1C"/>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B21E7"/>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yperlink" Target="https://www.gsa.gov/travel/plan-book/per-diem-rat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33</Pages>
  <Words>9025</Words>
  <Characters>62449</Characters>
  <Application>Microsoft Office Word</Application>
  <DocSecurity>0</DocSecurity>
  <Lines>520</Lines>
  <Paragraphs>142</Paragraphs>
  <ScaleCrop>false</ScaleCrop>
  <HeadingPairs>
    <vt:vector size="2" baseType="variant">
      <vt:variant>
        <vt:lpstr>Title</vt:lpstr>
      </vt:variant>
      <vt:variant>
        <vt:i4>1</vt:i4>
      </vt:variant>
    </vt:vector>
  </HeadingPairs>
  <TitlesOfParts>
    <vt:vector size="1" baseType="lpstr">
      <vt:lpstr>SUBMISSION DOCUMENTS for RFP 22-014</vt:lpstr>
    </vt:vector>
  </TitlesOfParts>
  <Company>NYSED</Company>
  <LinksUpToDate>false</LinksUpToDate>
  <CharactersWithSpaces>71332</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22-014</dc:title>
  <dc:subject/>
  <dc:creator>New York State Education Department</dc:creator>
  <cp:keywords/>
  <cp:lastModifiedBy>Ron Gill</cp:lastModifiedBy>
  <cp:revision>30</cp:revision>
  <cp:lastPrinted>2017-01-11T13:36:00Z</cp:lastPrinted>
  <dcterms:created xsi:type="dcterms:W3CDTF">2017-10-03T18:18:00Z</dcterms:created>
  <dcterms:modified xsi:type="dcterms:W3CDTF">2021-11-08T21:33:00Z</dcterms:modified>
</cp:coreProperties>
</file>