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F769" w14:textId="77777777" w:rsidR="00F872B7" w:rsidRPr="0090090E" w:rsidRDefault="00F872B7" w:rsidP="00672AD1">
      <w:pPr>
        <w:jc w:val="center"/>
        <w:rPr>
          <w:rFonts w:ascii="Verdana" w:hAnsi="Verdana"/>
          <w:b/>
          <w:bCs/>
          <w:sz w:val="22"/>
          <w:szCs w:val="22"/>
        </w:rPr>
      </w:pPr>
      <w:r w:rsidRPr="0090090E">
        <w:rPr>
          <w:rFonts w:ascii="Verdana" w:hAnsi="Verdana"/>
          <w:b/>
          <w:bCs/>
          <w:sz w:val="22"/>
          <w:szCs w:val="22"/>
        </w:rPr>
        <w:t>Verification Report 11</w:t>
      </w:r>
    </w:p>
    <w:p w14:paraId="7863540D" w14:textId="0EBEEA2B" w:rsidR="00F872B7" w:rsidRPr="0090090E" w:rsidRDefault="00F872B7" w:rsidP="00672AD1">
      <w:pPr>
        <w:jc w:val="center"/>
        <w:rPr>
          <w:rFonts w:ascii="Verdana" w:hAnsi="Verdana"/>
          <w:b/>
          <w:bCs/>
          <w:sz w:val="22"/>
          <w:szCs w:val="22"/>
        </w:rPr>
      </w:pPr>
      <w:r w:rsidRPr="0090090E">
        <w:rPr>
          <w:rFonts w:ascii="Verdana" w:hAnsi="Verdana"/>
          <w:b/>
          <w:bCs/>
          <w:sz w:val="22"/>
          <w:szCs w:val="22"/>
        </w:rPr>
        <w:t xml:space="preserve">Compliance Rate on State Performance Plan (SPP) Indicator #11 - Percent of Children Evaluated Within </w:t>
      </w:r>
      <w:r w:rsidR="006811B4">
        <w:rPr>
          <w:rFonts w:ascii="Verdana" w:hAnsi="Verdana"/>
          <w:b/>
          <w:bCs/>
          <w:sz w:val="22"/>
          <w:szCs w:val="22"/>
        </w:rPr>
        <w:t xml:space="preserve">the </w:t>
      </w:r>
      <w:r w:rsidRPr="0090090E">
        <w:rPr>
          <w:rFonts w:ascii="Verdana" w:hAnsi="Verdana"/>
          <w:b/>
          <w:bCs/>
          <w:sz w:val="22"/>
          <w:szCs w:val="22"/>
        </w:rPr>
        <w:t>State Established Timeline</w:t>
      </w:r>
    </w:p>
    <w:p w14:paraId="7085E6F2" w14:textId="0D5FFD32" w:rsidR="00A433C6" w:rsidRDefault="00A433C6" w:rsidP="0090090E">
      <w:pPr>
        <w:shd w:val="clear" w:color="auto" w:fill="FFFFFF"/>
        <w:spacing w:before="15" w:after="15"/>
        <w:ind w:left="15" w:right="15"/>
        <w:jc w:val="center"/>
        <w:outlineLvl w:val="3"/>
        <w:rPr>
          <w:rFonts w:ascii="Verdana" w:hAnsi="Verdana"/>
          <w:b/>
          <w:bCs/>
          <w:sz w:val="18"/>
          <w:szCs w:val="18"/>
        </w:rPr>
      </w:pPr>
      <w:r w:rsidRPr="0090090E">
        <w:rPr>
          <w:rFonts w:ascii="Verdana" w:eastAsia="Times New Roman" w:hAnsi="Verdana" w:cs="Times New Roman"/>
          <w:b/>
          <w:bCs/>
          <w:sz w:val="18"/>
          <w:szCs w:val="18"/>
        </w:rPr>
        <w:t>(Based on Parent Consent to Evaluate the Child Received Between July 1, 2022 and June 30, 2023, and Status of the Eligibility Determination Process as of August 31, 2023)</w:t>
      </w:r>
    </w:p>
    <w:p w14:paraId="5BF9BB56" w14:textId="77777777" w:rsidR="00A433C6" w:rsidRDefault="00A433C6" w:rsidP="00A433C6">
      <w:pPr>
        <w:jc w:val="center"/>
        <w:rPr>
          <w:rFonts w:ascii="Verdana" w:hAnsi="Verdana"/>
          <w:b/>
          <w:bCs/>
          <w:sz w:val="18"/>
          <w:szCs w:val="18"/>
        </w:rPr>
      </w:pPr>
    </w:p>
    <w:p w14:paraId="159C7FEB" w14:textId="36811DDD" w:rsidR="00F872B7" w:rsidRPr="00672AD1" w:rsidRDefault="00A433C6" w:rsidP="0090090E">
      <w:pPr>
        <w:jc w:val="center"/>
        <w:rPr>
          <w:rFonts w:ascii="Verdana" w:hAnsi="Verdana"/>
          <w:sz w:val="18"/>
          <w:szCs w:val="18"/>
        </w:rPr>
      </w:pPr>
      <w:r w:rsidRPr="007C0D52">
        <w:rPr>
          <w:rFonts w:ascii="Verdana" w:hAnsi="Verdana"/>
          <w:b/>
          <w:bCs/>
          <w:sz w:val="18"/>
          <w:szCs w:val="18"/>
        </w:rPr>
        <w:t>About this Report</w:t>
      </w:r>
    </w:p>
    <w:p w14:paraId="0288F96A" w14:textId="7832EEA9" w:rsidR="0056768D" w:rsidRPr="0056768D" w:rsidRDefault="0056768D" w:rsidP="0056768D">
      <w:pPr>
        <w:shd w:val="clear" w:color="auto" w:fill="FFFFFF"/>
        <w:spacing w:before="150" w:after="100" w:afterAutospacing="1" w:line="252" w:lineRule="atLeast"/>
        <w:rPr>
          <w:rFonts w:ascii="Verdana" w:eastAsia="Times New Roman" w:hAnsi="Verdana" w:cs="Times New Roman"/>
          <w:color w:val="000000"/>
          <w:sz w:val="18"/>
          <w:szCs w:val="18"/>
        </w:rPr>
      </w:pPr>
      <w:r w:rsidRPr="0056768D">
        <w:rPr>
          <w:rFonts w:ascii="Verdana" w:eastAsia="Times New Roman" w:hAnsi="Verdana" w:cs="Times New Roman"/>
          <w:color w:val="000000"/>
          <w:sz w:val="18"/>
          <w:szCs w:val="18"/>
        </w:rPr>
        <w:t xml:space="preserve">This report is your school district's compliance report for State Performance Plan Indicator #11, which is the percent of children with parental consent to evaluate, who were evaluated and eligibility determined within </w:t>
      </w:r>
      <w:r w:rsidR="006811B4">
        <w:rPr>
          <w:rFonts w:ascii="Verdana" w:eastAsia="Times New Roman" w:hAnsi="Verdana" w:cs="Times New Roman"/>
          <w:color w:val="000000"/>
          <w:sz w:val="18"/>
          <w:szCs w:val="18"/>
        </w:rPr>
        <w:t xml:space="preserve">the </w:t>
      </w:r>
      <w:r w:rsidRPr="0056768D">
        <w:rPr>
          <w:rFonts w:ascii="Verdana" w:eastAsia="Times New Roman" w:hAnsi="Verdana" w:cs="Times New Roman"/>
          <w:color w:val="000000"/>
          <w:sz w:val="18"/>
          <w:szCs w:val="18"/>
        </w:rPr>
        <w:t>State established timeline. Once you verify your data as complete and accurate, this becomes your compliance notification and you must take the actions identified in the report.</w:t>
      </w:r>
    </w:p>
    <w:p w14:paraId="50F3E9B7" w14:textId="126371B1" w:rsidR="003A3BAB" w:rsidRPr="00672AD1" w:rsidRDefault="0056768D" w:rsidP="0090090E">
      <w:pPr>
        <w:shd w:val="clear" w:color="auto" w:fill="FFFFFF"/>
        <w:spacing w:before="150" w:after="100" w:afterAutospacing="1" w:line="252" w:lineRule="atLeast"/>
        <w:rPr>
          <w:rFonts w:ascii="Verdana" w:hAnsi="Verdana"/>
          <w:sz w:val="18"/>
          <w:szCs w:val="18"/>
        </w:rPr>
      </w:pPr>
      <w:r w:rsidRPr="0056768D">
        <w:rPr>
          <w:rFonts w:ascii="Verdana" w:eastAsia="Times New Roman" w:hAnsi="Verdana" w:cs="Times New Roman"/>
          <w:color w:val="000000"/>
          <w:sz w:val="18"/>
          <w:szCs w:val="18"/>
        </w:rPr>
        <w:t>The data elements that are displayed in this report are from the Special Education Events template for two chains that begin with Event Type Codes CPSE01 (receipt of referral for an initial evaluation of a preschool child for special education eligibility) and CSE01 (receipt of referral for an initial evaluation for a school-age student for special education eligibility). The following templates (or tables) are also used: Student_Lite (Student Demographics); and School_Enroll (Enrollment). </w:t>
      </w:r>
    </w:p>
    <w:p w14:paraId="1A87B874" w14:textId="4CDCD7FB" w:rsidR="00F872B7" w:rsidRPr="00672AD1" w:rsidRDefault="00F872B7" w:rsidP="00F872B7">
      <w:pPr>
        <w:rPr>
          <w:rFonts w:ascii="Verdana" w:hAnsi="Verdana"/>
          <w:sz w:val="18"/>
          <w:szCs w:val="18"/>
        </w:rPr>
      </w:pPr>
      <w:r w:rsidRPr="00672AD1">
        <w:rPr>
          <w:rFonts w:ascii="Verdana" w:hAnsi="Verdana"/>
          <w:sz w:val="18"/>
          <w:szCs w:val="18"/>
        </w:rPr>
        <w:t xml:space="preserve">Students </w:t>
      </w:r>
      <w:r w:rsidR="003A3BAB" w:rsidRPr="00672AD1">
        <w:rPr>
          <w:rFonts w:ascii="Verdana" w:hAnsi="Verdana"/>
          <w:sz w:val="18"/>
          <w:szCs w:val="18"/>
        </w:rPr>
        <w:t>who meet all the following criteria are included in the report</w:t>
      </w:r>
      <w:r w:rsidRPr="00672AD1">
        <w:rPr>
          <w:rFonts w:ascii="Verdana" w:hAnsi="Verdana"/>
          <w:sz w:val="18"/>
          <w:szCs w:val="18"/>
        </w:rPr>
        <w:t>:</w:t>
      </w:r>
    </w:p>
    <w:p w14:paraId="7787E397" w14:textId="2193522E" w:rsidR="003A3BAB" w:rsidRPr="00672AD1" w:rsidRDefault="00F872B7" w:rsidP="00EC0FC2">
      <w:pPr>
        <w:pStyle w:val="ListParagraph"/>
        <w:numPr>
          <w:ilvl w:val="0"/>
          <w:numId w:val="3"/>
        </w:numPr>
        <w:rPr>
          <w:rFonts w:ascii="Verdana" w:hAnsi="Verdana"/>
          <w:sz w:val="18"/>
          <w:szCs w:val="18"/>
        </w:rPr>
      </w:pPr>
      <w:r w:rsidRPr="00672AD1">
        <w:rPr>
          <w:rFonts w:ascii="Verdana" w:hAnsi="Verdana"/>
          <w:sz w:val="18"/>
          <w:szCs w:val="18"/>
        </w:rPr>
        <w:t xml:space="preserve">Enrollment </w:t>
      </w:r>
      <w:r w:rsidR="003A3BAB" w:rsidRPr="00672AD1">
        <w:rPr>
          <w:rFonts w:ascii="Verdana" w:hAnsi="Verdana"/>
          <w:sz w:val="18"/>
          <w:szCs w:val="18"/>
        </w:rPr>
        <w:t xml:space="preserve">record </w:t>
      </w:r>
      <w:r w:rsidRPr="00672AD1">
        <w:rPr>
          <w:rFonts w:ascii="Verdana" w:hAnsi="Verdana"/>
          <w:sz w:val="18"/>
          <w:szCs w:val="18"/>
        </w:rPr>
        <w:t>between July 1, 202</w:t>
      </w:r>
      <w:r w:rsidR="003A3BAB" w:rsidRPr="00672AD1">
        <w:rPr>
          <w:rFonts w:ascii="Verdana" w:hAnsi="Verdana"/>
          <w:sz w:val="18"/>
          <w:szCs w:val="18"/>
        </w:rPr>
        <w:t>2,</w:t>
      </w:r>
      <w:r w:rsidRPr="00672AD1">
        <w:rPr>
          <w:rFonts w:ascii="Verdana" w:hAnsi="Verdana"/>
          <w:sz w:val="18"/>
          <w:szCs w:val="18"/>
        </w:rPr>
        <w:t xml:space="preserve"> and June 30, 202</w:t>
      </w:r>
      <w:r w:rsidR="003A3BAB" w:rsidRPr="00672AD1">
        <w:rPr>
          <w:rFonts w:ascii="Verdana" w:hAnsi="Verdana"/>
          <w:sz w:val="18"/>
          <w:szCs w:val="18"/>
        </w:rPr>
        <w:t>3</w:t>
      </w:r>
    </w:p>
    <w:p w14:paraId="3F324E8F" w14:textId="18AB5D00" w:rsidR="00F872B7" w:rsidRPr="00672AD1" w:rsidRDefault="003A3BAB" w:rsidP="00EC0FC2">
      <w:pPr>
        <w:pStyle w:val="ListParagraph"/>
        <w:numPr>
          <w:ilvl w:val="0"/>
          <w:numId w:val="3"/>
        </w:numPr>
        <w:rPr>
          <w:rFonts w:ascii="Verdana" w:hAnsi="Verdana"/>
          <w:sz w:val="18"/>
          <w:szCs w:val="18"/>
        </w:rPr>
      </w:pPr>
      <w:r w:rsidRPr="00672AD1">
        <w:rPr>
          <w:rFonts w:ascii="Verdana" w:hAnsi="Verdana"/>
          <w:sz w:val="18"/>
          <w:szCs w:val="18"/>
        </w:rPr>
        <w:t>Enrollment record with b</w:t>
      </w:r>
      <w:r w:rsidR="00F872B7" w:rsidRPr="00672AD1">
        <w:rPr>
          <w:rFonts w:ascii="Verdana" w:hAnsi="Verdana"/>
          <w:sz w:val="18"/>
          <w:szCs w:val="18"/>
        </w:rPr>
        <w:t>eginning enrollment code</w:t>
      </w:r>
      <w:r w:rsidRPr="00672AD1">
        <w:rPr>
          <w:rFonts w:ascii="Verdana" w:hAnsi="Verdana"/>
          <w:sz w:val="18"/>
          <w:szCs w:val="18"/>
        </w:rPr>
        <w:t xml:space="preserve"> 0011,</w:t>
      </w:r>
      <w:r w:rsidR="00F872B7" w:rsidRPr="00672AD1">
        <w:rPr>
          <w:rFonts w:ascii="Verdana" w:hAnsi="Verdana"/>
          <w:sz w:val="18"/>
          <w:szCs w:val="18"/>
        </w:rPr>
        <w:t xml:space="preserve"> 4034</w:t>
      </w:r>
      <w:r w:rsidRPr="00672AD1">
        <w:rPr>
          <w:rFonts w:ascii="Verdana" w:hAnsi="Verdana"/>
          <w:sz w:val="18"/>
          <w:szCs w:val="18"/>
        </w:rPr>
        <w:t xml:space="preserve">, </w:t>
      </w:r>
      <w:r w:rsidR="00F872B7" w:rsidRPr="00672AD1">
        <w:rPr>
          <w:rFonts w:ascii="Verdana" w:hAnsi="Verdana"/>
          <w:sz w:val="18"/>
          <w:szCs w:val="18"/>
        </w:rPr>
        <w:t>5905</w:t>
      </w:r>
      <w:r w:rsidRPr="00672AD1">
        <w:rPr>
          <w:rFonts w:ascii="Verdana" w:hAnsi="Verdana"/>
          <w:sz w:val="18"/>
          <w:szCs w:val="18"/>
        </w:rPr>
        <w:t xml:space="preserve">, </w:t>
      </w:r>
      <w:r w:rsidR="00F872B7" w:rsidRPr="00672AD1">
        <w:rPr>
          <w:rFonts w:ascii="Verdana" w:hAnsi="Verdana"/>
          <w:sz w:val="18"/>
          <w:szCs w:val="18"/>
        </w:rPr>
        <w:t>5544</w:t>
      </w:r>
      <w:r w:rsidRPr="00672AD1">
        <w:rPr>
          <w:rFonts w:ascii="Verdana" w:hAnsi="Verdana"/>
          <w:sz w:val="18"/>
          <w:szCs w:val="18"/>
        </w:rPr>
        <w:t>,</w:t>
      </w:r>
      <w:r w:rsidR="00F872B7" w:rsidRPr="00672AD1">
        <w:rPr>
          <w:rFonts w:ascii="Verdana" w:hAnsi="Verdana"/>
          <w:sz w:val="18"/>
          <w:szCs w:val="18"/>
        </w:rPr>
        <w:t xml:space="preserve"> 5654</w:t>
      </w:r>
      <w:r w:rsidRPr="00672AD1">
        <w:rPr>
          <w:rFonts w:ascii="Verdana" w:hAnsi="Verdana"/>
          <w:sz w:val="18"/>
          <w:szCs w:val="18"/>
        </w:rPr>
        <w:t xml:space="preserve">, </w:t>
      </w:r>
      <w:r w:rsidR="00F872B7" w:rsidRPr="00672AD1">
        <w:rPr>
          <w:rFonts w:ascii="Verdana" w:hAnsi="Verdana"/>
          <w:sz w:val="18"/>
          <w:szCs w:val="18"/>
        </w:rPr>
        <w:t>7000</w:t>
      </w:r>
      <w:r w:rsidRPr="00672AD1">
        <w:rPr>
          <w:rFonts w:ascii="Verdana" w:hAnsi="Verdana"/>
          <w:sz w:val="18"/>
          <w:szCs w:val="18"/>
        </w:rPr>
        <w:t>,</w:t>
      </w:r>
      <w:r w:rsidR="00F872B7" w:rsidRPr="00672AD1">
        <w:rPr>
          <w:rFonts w:ascii="Verdana" w:hAnsi="Verdana"/>
          <w:sz w:val="18"/>
          <w:szCs w:val="18"/>
        </w:rPr>
        <w:t xml:space="preserve"> or 7011</w:t>
      </w:r>
    </w:p>
    <w:p w14:paraId="07FC8AD6" w14:textId="1D41E9E4" w:rsidR="00F872B7" w:rsidRPr="00672AD1" w:rsidRDefault="00F872B7" w:rsidP="00EC0FC2">
      <w:pPr>
        <w:pStyle w:val="ListParagraph"/>
        <w:numPr>
          <w:ilvl w:val="0"/>
          <w:numId w:val="3"/>
        </w:numPr>
        <w:rPr>
          <w:rFonts w:ascii="Verdana" w:hAnsi="Verdana"/>
          <w:sz w:val="18"/>
          <w:szCs w:val="18"/>
        </w:rPr>
      </w:pPr>
      <w:r w:rsidRPr="00672AD1">
        <w:rPr>
          <w:rFonts w:ascii="Verdana" w:hAnsi="Verdana"/>
          <w:sz w:val="18"/>
          <w:szCs w:val="18"/>
        </w:rPr>
        <w:t xml:space="preserve">Building of Enrollment code </w:t>
      </w:r>
      <w:r w:rsidR="003A3BAB" w:rsidRPr="00672AD1">
        <w:rPr>
          <w:rFonts w:ascii="Verdana" w:hAnsi="Verdana"/>
          <w:sz w:val="18"/>
          <w:szCs w:val="18"/>
        </w:rPr>
        <w:t>that is valid in SEDREF</w:t>
      </w:r>
    </w:p>
    <w:p w14:paraId="7E66E0C5" w14:textId="09EEFBBB" w:rsidR="00F872B7" w:rsidRPr="00672AD1" w:rsidRDefault="00F872B7" w:rsidP="00EC0FC2">
      <w:pPr>
        <w:pStyle w:val="ListParagraph"/>
        <w:numPr>
          <w:ilvl w:val="0"/>
          <w:numId w:val="3"/>
        </w:numPr>
        <w:rPr>
          <w:rFonts w:ascii="Verdana" w:hAnsi="Verdana"/>
          <w:sz w:val="18"/>
          <w:szCs w:val="18"/>
        </w:rPr>
      </w:pPr>
      <w:r w:rsidRPr="00672AD1">
        <w:rPr>
          <w:rFonts w:ascii="Verdana" w:hAnsi="Verdana"/>
          <w:sz w:val="18"/>
          <w:szCs w:val="18"/>
        </w:rPr>
        <w:t xml:space="preserve">Any of the following </w:t>
      </w:r>
      <w:r w:rsidR="00EC0FC2" w:rsidRPr="00672AD1">
        <w:rPr>
          <w:rFonts w:ascii="Verdana" w:hAnsi="Verdana"/>
          <w:sz w:val="18"/>
          <w:szCs w:val="18"/>
        </w:rPr>
        <w:t>Special Education Event</w:t>
      </w:r>
      <w:r w:rsidR="00982E6C" w:rsidRPr="00672AD1">
        <w:rPr>
          <w:rFonts w:ascii="Verdana" w:hAnsi="Verdana"/>
          <w:sz w:val="18"/>
          <w:szCs w:val="18"/>
        </w:rPr>
        <w:t xml:space="preserve"> Type </w:t>
      </w:r>
      <w:r w:rsidR="003A3BAB" w:rsidRPr="00672AD1">
        <w:rPr>
          <w:rFonts w:ascii="Verdana" w:hAnsi="Verdana"/>
          <w:sz w:val="18"/>
          <w:szCs w:val="18"/>
        </w:rPr>
        <w:t>Codes are submitted:</w:t>
      </w:r>
    </w:p>
    <w:p w14:paraId="4A588E41" w14:textId="60B661D1" w:rsidR="00F872B7" w:rsidRPr="00672AD1" w:rsidRDefault="00F872B7" w:rsidP="00EC0FC2">
      <w:pPr>
        <w:pStyle w:val="ListParagraph"/>
        <w:numPr>
          <w:ilvl w:val="0"/>
          <w:numId w:val="4"/>
        </w:numPr>
        <w:rPr>
          <w:rFonts w:ascii="Verdana" w:hAnsi="Verdana"/>
          <w:sz w:val="18"/>
          <w:szCs w:val="18"/>
        </w:rPr>
      </w:pPr>
      <w:r w:rsidRPr="00672AD1">
        <w:rPr>
          <w:rFonts w:ascii="Verdana" w:hAnsi="Verdana"/>
          <w:sz w:val="18"/>
          <w:szCs w:val="18"/>
        </w:rPr>
        <w:t>CPSE01</w:t>
      </w:r>
      <w:r w:rsidR="00982E6C" w:rsidRPr="00672AD1">
        <w:rPr>
          <w:rFonts w:ascii="Verdana" w:hAnsi="Verdana"/>
          <w:sz w:val="18"/>
          <w:szCs w:val="18"/>
        </w:rPr>
        <w:t xml:space="preserve"> – Receipt of initial referral to CPSE for evaluation for students</w:t>
      </w:r>
      <w:r w:rsidRPr="00672AD1">
        <w:rPr>
          <w:rFonts w:ascii="Verdana" w:hAnsi="Verdana"/>
          <w:sz w:val="18"/>
          <w:szCs w:val="18"/>
        </w:rPr>
        <w:t xml:space="preserve"> ages 2-4</w:t>
      </w:r>
      <w:r w:rsidR="00982E6C" w:rsidRPr="00672AD1">
        <w:rPr>
          <w:rFonts w:ascii="Verdana" w:hAnsi="Verdana"/>
          <w:sz w:val="18"/>
          <w:szCs w:val="18"/>
        </w:rPr>
        <w:t>, including students who turn 2 during the school year</w:t>
      </w:r>
    </w:p>
    <w:p w14:paraId="425641AF" w14:textId="5FEE9062" w:rsidR="00F872B7" w:rsidRPr="00672AD1" w:rsidRDefault="00F872B7" w:rsidP="00EC0FC2">
      <w:pPr>
        <w:pStyle w:val="ListParagraph"/>
        <w:numPr>
          <w:ilvl w:val="0"/>
          <w:numId w:val="4"/>
        </w:numPr>
        <w:rPr>
          <w:rFonts w:ascii="Verdana" w:hAnsi="Verdana"/>
          <w:sz w:val="18"/>
          <w:szCs w:val="18"/>
        </w:rPr>
      </w:pPr>
      <w:r w:rsidRPr="00672AD1">
        <w:rPr>
          <w:rFonts w:ascii="Verdana" w:hAnsi="Verdana"/>
          <w:sz w:val="18"/>
          <w:szCs w:val="18"/>
        </w:rPr>
        <w:t>CPSE02</w:t>
      </w:r>
      <w:r w:rsidR="00AB2228" w:rsidRPr="00672AD1">
        <w:rPr>
          <w:rFonts w:ascii="Verdana" w:hAnsi="Verdana"/>
          <w:sz w:val="18"/>
          <w:szCs w:val="18"/>
        </w:rPr>
        <w:t xml:space="preserve"> – Receipt of </w:t>
      </w:r>
      <w:r w:rsidRPr="00672AD1">
        <w:rPr>
          <w:rFonts w:ascii="Verdana" w:hAnsi="Verdana"/>
          <w:sz w:val="18"/>
          <w:szCs w:val="18"/>
        </w:rPr>
        <w:t>written parent consent to evaluate the child</w:t>
      </w:r>
    </w:p>
    <w:p w14:paraId="0222A9E6" w14:textId="5758F2A4" w:rsidR="00F872B7" w:rsidRPr="00672AD1" w:rsidRDefault="00F872B7" w:rsidP="00EC0FC2">
      <w:pPr>
        <w:pStyle w:val="ListParagraph"/>
        <w:numPr>
          <w:ilvl w:val="0"/>
          <w:numId w:val="4"/>
        </w:numPr>
        <w:rPr>
          <w:rFonts w:ascii="Verdana" w:hAnsi="Verdana"/>
          <w:sz w:val="18"/>
          <w:szCs w:val="18"/>
        </w:rPr>
      </w:pPr>
      <w:r w:rsidRPr="00672AD1">
        <w:rPr>
          <w:rFonts w:ascii="Verdana" w:hAnsi="Verdana"/>
          <w:sz w:val="18"/>
          <w:szCs w:val="18"/>
        </w:rPr>
        <w:t>CPSE03</w:t>
      </w:r>
      <w:r w:rsidR="00AB2228" w:rsidRPr="00672AD1">
        <w:rPr>
          <w:rFonts w:ascii="Verdana" w:hAnsi="Verdana"/>
          <w:sz w:val="18"/>
          <w:szCs w:val="18"/>
        </w:rPr>
        <w:t xml:space="preserve"> – CPSE meeting </w:t>
      </w:r>
      <w:r w:rsidRPr="00672AD1">
        <w:rPr>
          <w:rFonts w:ascii="Verdana" w:hAnsi="Verdana"/>
          <w:sz w:val="18"/>
          <w:szCs w:val="18"/>
        </w:rPr>
        <w:t>to discuss evaluation results</w:t>
      </w:r>
    </w:p>
    <w:p w14:paraId="06DC8F6F" w14:textId="55C5D38D" w:rsidR="00F872B7" w:rsidRPr="00672AD1" w:rsidRDefault="003A3BAB" w:rsidP="00F872B7">
      <w:pPr>
        <w:rPr>
          <w:rFonts w:ascii="Verdana" w:hAnsi="Verdana"/>
          <w:b/>
          <w:bCs/>
          <w:sz w:val="18"/>
          <w:szCs w:val="18"/>
        </w:rPr>
      </w:pPr>
      <w:r w:rsidRPr="00672AD1">
        <w:rPr>
          <w:rFonts w:ascii="Verdana" w:hAnsi="Verdana"/>
          <w:sz w:val="18"/>
          <w:szCs w:val="18"/>
        </w:rPr>
        <w:tab/>
      </w:r>
      <w:r w:rsidR="00EC0FC2" w:rsidRPr="00672AD1">
        <w:rPr>
          <w:rFonts w:ascii="Verdana" w:hAnsi="Verdana"/>
          <w:sz w:val="18"/>
          <w:szCs w:val="18"/>
        </w:rPr>
        <w:tab/>
      </w:r>
      <w:r w:rsidR="00EC0FC2" w:rsidRPr="00672AD1">
        <w:rPr>
          <w:rFonts w:ascii="Verdana" w:hAnsi="Verdana"/>
          <w:sz w:val="18"/>
          <w:szCs w:val="18"/>
        </w:rPr>
        <w:tab/>
      </w:r>
      <w:r w:rsidRPr="00672AD1">
        <w:rPr>
          <w:rFonts w:ascii="Verdana" w:hAnsi="Verdana"/>
          <w:b/>
          <w:bCs/>
          <w:sz w:val="18"/>
          <w:szCs w:val="18"/>
        </w:rPr>
        <w:t>OR</w:t>
      </w:r>
    </w:p>
    <w:p w14:paraId="3B1C5306" w14:textId="54F17AF5" w:rsidR="00F872B7" w:rsidRPr="00672AD1" w:rsidRDefault="00F872B7" w:rsidP="00EC0FC2">
      <w:pPr>
        <w:pStyle w:val="ListParagraph"/>
        <w:numPr>
          <w:ilvl w:val="0"/>
          <w:numId w:val="5"/>
        </w:numPr>
        <w:rPr>
          <w:rFonts w:ascii="Verdana" w:hAnsi="Verdana"/>
          <w:sz w:val="18"/>
          <w:szCs w:val="18"/>
        </w:rPr>
      </w:pPr>
      <w:r w:rsidRPr="00672AD1">
        <w:rPr>
          <w:rFonts w:ascii="Verdana" w:hAnsi="Verdana"/>
          <w:sz w:val="18"/>
          <w:szCs w:val="18"/>
        </w:rPr>
        <w:t>CSE01</w:t>
      </w:r>
      <w:r w:rsidR="00AB2228" w:rsidRPr="00672AD1">
        <w:rPr>
          <w:rFonts w:ascii="Verdana" w:hAnsi="Verdana"/>
          <w:sz w:val="18"/>
          <w:szCs w:val="18"/>
        </w:rPr>
        <w:t xml:space="preserve"> – Receipt of </w:t>
      </w:r>
      <w:r w:rsidRPr="00672AD1">
        <w:rPr>
          <w:rFonts w:ascii="Verdana" w:hAnsi="Verdana"/>
          <w:sz w:val="18"/>
          <w:szCs w:val="18"/>
        </w:rPr>
        <w:t>referral for an initial evaluation by the CSE for students age</w:t>
      </w:r>
      <w:r w:rsidR="00EC0FC2" w:rsidRPr="00672AD1">
        <w:rPr>
          <w:rFonts w:ascii="Verdana" w:hAnsi="Verdana"/>
          <w:sz w:val="18"/>
          <w:szCs w:val="18"/>
        </w:rPr>
        <w:t>s</w:t>
      </w:r>
      <w:r w:rsidRPr="00672AD1">
        <w:rPr>
          <w:rFonts w:ascii="Verdana" w:hAnsi="Verdana"/>
          <w:sz w:val="18"/>
          <w:szCs w:val="18"/>
        </w:rPr>
        <w:t xml:space="preserve"> </w:t>
      </w:r>
      <w:r w:rsidR="00EC0FC2" w:rsidRPr="00672AD1">
        <w:rPr>
          <w:rFonts w:ascii="Verdana" w:hAnsi="Verdana"/>
          <w:sz w:val="18"/>
          <w:szCs w:val="18"/>
        </w:rPr>
        <w:t>5</w:t>
      </w:r>
      <w:r w:rsidRPr="00672AD1">
        <w:rPr>
          <w:rFonts w:ascii="Verdana" w:hAnsi="Verdana"/>
          <w:sz w:val="18"/>
          <w:szCs w:val="18"/>
        </w:rPr>
        <w:t>-21</w:t>
      </w:r>
      <w:r w:rsidR="00EC0FC2" w:rsidRPr="00672AD1">
        <w:rPr>
          <w:rFonts w:ascii="Verdana" w:hAnsi="Verdana"/>
          <w:sz w:val="18"/>
          <w:szCs w:val="18"/>
        </w:rPr>
        <w:t xml:space="preserve"> and 4-year-old students who are eligible for school-age services</w:t>
      </w:r>
    </w:p>
    <w:p w14:paraId="48A9E66B" w14:textId="56EB821F" w:rsidR="00F872B7" w:rsidRPr="00672AD1" w:rsidRDefault="00F872B7" w:rsidP="00EC0FC2">
      <w:pPr>
        <w:pStyle w:val="ListParagraph"/>
        <w:numPr>
          <w:ilvl w:val="0"/>
          <w:numId w:val="5"/>
        </w:numPr>
        <w:rPr>
          <w:rFonts w:ascii="Verdana" w:hAnsi="Verdana"/>
          <w:sz w:val="18"/>
          <w:szCs w:val="18"/>
        </w:rPr>
      </w:pPr>
      <w:r w:rsidRPr="00672AD1">
        <w:rPr>
          <w:rFonts w:ascii="Verdana" w:hAnsi="Verdana"/>
          <w:sz w:val="18"/>
          <w:szCs w:val="18"/>
        </w:rPr>
        <w:t>CSE02</w:t>
      </w:r>
      <w:r w:rsidR="00AB2228" w:rsidRPr="00672AD1">
        <w:rPr>
          <w:rFonts w:ascii="Verdana" w:hAnsi="Verdana"/>
          <w:sz w:val="18"/>
          <w:szCs w:val="18"/>
        </w:rPr>
        <w:t xml:space="preserve"> – Receipt of </w:t>
      </w:r>
      <w:r w:rsidRPr="00672AD1">
        <w:rPr>
          <w:rFonts w:ascii="Verdana" w:hAnsi="Verdana"/>
          <w:sz w:val="18"/>
          <w:szCs w:val="18"/>
        </w:rPr>
        <w:t>written parent consent to evaluate the student</w:t>
      </w:r>
    </w:p>
    <w:p w14:paraId="4D79B4B6" w14:textId="36EB0724" w:rsidR="00EC0FC2" w:rsidRPr="0090090E" w:rsidRDefault="00F872B7" w:rsidP="00D067D5">
      <w:pPr>
        <w:pStyle w:val="ListParagraph"/>
        <w:numPr>
          <w:ilvl w:val="0"/>
          <w:numId w:val="5"/>
        </w:numPr>
        <w:rPr>
          <w:rFonts w:ascii="Verdana" w:hAnsi="Verdana"/>
          <w:sz w:val="18"/>
          <w:szCs w:val="18"/>
        </w:rPr>
      </w:pPr>
      <w:r w:rsidRPr="0090090E">
        <w:rPr>
          <w:rFonts w:ascii="Verdana" w:hAnsi="Verdana"/>
          <w:sz w:val="18"/>
          <w:szCs w:val="18"/>
        </w:rPr>
        <w:t>CSE03</w:t>
      </w:r>
      <w:r w:rsidR="00AB2228" w:rsidRPr="0090090E">
        <w:rPr>
          <w:rFonts w:ascii="Verdana" w:hAnsi="Verdana"/>
          <w:sz w:val="18"/>
          <w:szCs w:val="18"/>
        </w:rPr>
        <w:t xml:space="preserve"> – CSE meeting</w:t>
      </w:r>
      <w:r w:rsidRPr="0090090E">
        <w:rPr>
          <w:rFonts w:ascii="Verdana" w:hAnsi="Verdana"/>
          <w:sz w:val="18"/>
          <w:szCs w:val="18"/>
        </w:rPr>
        <w:t xml:space="preserve"> to discuss evaluation results</w:t>
      </w:r>
    </w:p>
    <w:p w14:paraId="7FE05643" w14:textId="77777777" w:rsidR="00A433C6" w:rsidRPr="007B4814" w:rsidRDefault="00A433C6" w:rsidP="00A433C6">
      <w:pPr>
        <w:shd w:val="clear" w:color="auto" w:fill="FFFFFF"/>
        <w:rPr>
          <w:rFonts w:ascii="Verdana" w:eastAsia="Times New Roman" w:hAnsi="Verdana" w:cs="Times New Roman"/>
          <w:sz w:val="18"/>
          <w:szCs w:val="18"/>
        </w:rPr>
      </w:pPr>
    </w:p>
    <w:p w14:paraId="5C5A362F" w14:textId="255235E9" w:rsidR="00A433C6" w:rsidRPr="001B6971" w:rsidRDefault="00A433C6" w:rsidP="00A433C6">
      <w:pPr>
        <w:shd w:val="clear" w:color="auto" w:fill="FFFFFF"/>
        <w:jc w:val="center"/>
        <w:rPr>
          <w:rFonts w:ascii="Verdana" w:eastAsia="Times New Roman" w:hAnsi="Verdana" w:cs="Times New Roman"/>
          <w:b/>
          <w:bCs/>
          <w:sz w:val="18"/>
          <w:szCs w:val="18"/>
        </w:rPr>
      </w:pPr>
      <w:r w:rsidRPr="001B6971">
        <w:rPr>
          <w:rFonts w:ascii="Verdana" w:eastAsia="Times New Roman" w:hAnsi="Verdana" w:cs="Times New Roman"/>
          <w:b/>
          <w:bCs/>
          <w:sz w:val="18"/>
          <w:szCs w:val="18"/>
        </w:rPr>
        <w:t>Directions</w:t>
      </w:r>
      <w:r w:rsidR="0007193D">
        <w:rPr>
          <w:rFonts w:ascii="Verdana" w:eastAsia="Times New Roman" w:hAnsi="Verdana" w:cs="Times New Roman"/>
          <w:b/>
          <w:bCs/>
          <w:sz w:val="18"/>
          <w:szCs w:val="18"/>
        </w:rPr>
        <w:t xml:space="preserve"> for Certification of Initial Data Submission</w:t>
      </w:r>
    </w:p>
    <w:p w14:paraId="08B72514" w14:textId="77777777" w:rsidR="00F872B7" w:rsidRPr="00672AD1" w:rsidRDefault="00F872B7" w:rsidP="00F872B7">
      <w:pPr>
        <w:rPr>
          <w:rFonts w:ascii="Verdana" w:hAnsi="Verdana"/>
          <w:sz w:val="18"/>
          <w:szCs w:val="18"/>
        </w:rPr>
      </w:pPr>
    </w:p>
    <w:p w14:paraId="5444B62F" w14:textId="5B1A32D0" w:rsidR="00A433C6" w:rsidRDefault="00A433C6" w:rsidP="00A433C6">
      <w:pPr>
        <w:rPr>
          <w:rFonts w:ascii="Verdana" w:hAnsi="Verdana"/>
          <w:sz w:val="18"/>
          <w:szCs w:val="18"/>
        </w:rPr>
      </w:pPr>
      <w:r w:rsidRPr="00D41299">
        <w:rPr>
          <w:rFonts w:ascii="Verdana" w:hAnsi="Verdana"/>
          <w:sz w:val="18"/>
          <w:szCs w:val="18"/>
        </w:rPr>
        <w:t xml:space="preserve">1. </w:t>
      </w:r>
      <w:r>
        <w:rPr>
          <w:rFonts w:ascii="Verdana" w:hAnsi="Verdana"/>
          <w:sz w:val="18"/>
          <w:szCs w:val="18"/>
        </w:rPr>
        <w:t xml:space="preserve">Review the data to verify that this report accurately reflects students </w:t>
      </w:r>
      <w:r w:rsidR="004633AB">
        <w:rPr>
          <w:rFonts w:ascii="Verdana" w:hAnsi="Verdana"/>
          <w:sz w:val="18"/>
          <w:szCs w:val="18"/>
        </w:rPr>
        <w:t xml:space="preserve">who had an initial referral to CPSE or CSE and had parental consent to evaluate. </w:t>
      </w:r>
      <w:r w:rsidR="004633AB" w:rsidRPr="00D41299">
        <w:rPr>
          <w:rFonts w:ascii="Verdana" w:hAnsi="Verdana"/>
          <w:sz w:val="18"/>
          <w:szCs w:val="18"/>
        </w:rPr>
        <w:t>Click on the number in each cell in the table to see the list of included students.</w:t>
      </w:r>
      <w:r w:rsidR="0084086B">
        <w:rPr>
          <w:rFonts w:ascii="Verdana" w:hAnsi="Verdana"/>
          <w:sz w:val="18"/>
          <w:szCs w:val="18"/>
        </w:rPr>
        <w:t xml:space="preserve"> You can also </w:t>
      </w:r>
      <w:r w:rsidR="00835B40">
        <w:rPr>
          <w:rFonts w:ascii="Verdana" w:hAnsi="Verdana"/>
          <w:sz w:val="18"/>
          <w:szCs w:val="18"/>
        </w:rPr>
        <w:t xml:space="preserve">view and </w:t>
      </w:r>
      <w:r w:rsidR="0084086B">
        <w:rPr>
          <w:rFonts w:ascii="Verdana" w:hAnsi="Verdana"/>
          <w:sz w:val="18"/>
          <w:szCs w:val="18"/>
        </w:rPr>
        <w:t xml:space="preserve">download lists of included students from </w:t>
      </w:r>
      <w:r w:rsidR="004F1BE3">
        <w:rPr>
          <w:rFonts w:ascii="Verdana" w:hAnsi="Verdana"/>
          <w:sz w:val="18"/>
          <w:szCs w:val="18"/>
        </w:rPr>
        <w:t xml:space="preserve">main </w:t>
      </w:r>
      <w:r w:rsidR="00173079">
        <w:rPr>
          <w:rFonts w:ascii="Verdana" w:hAnsi="Verdana"/>
          <w:sz w:val="18"/>
          <w:szCs w:val="18"/>
        </w:rPr>
        <w:t>menu</w:t>
      </w:r>
      <w:r w:rsidR="004F1BE3">
        <w:rPr>
          <w:rFonts w:ascii="Verdana" w:hAnsi="Verdana"/>
          <w:sz w:val="18"/>
          <w:szCs w:val="18"/>
        </w:rPr>
        <w:t xml:space="preserve"> in PD System</w:t>
      </w:r>
      <w:r w:rsidR="00DF00B8">
        <w:rPr>
          <w:rFonts w:ascii="Verdana" w:hAnsi="Verdana"/>
          <w:sz w:val="18"/>
          <w:szCs w:val="18"/>
        </w:rPr>
        <w:t xml:space="preserve"> </w:t>
      </w:r>
      <w:r w:rsidR="00967838">
        <w:rPr>
          <w:rFonts w:ascii="Verdana" w:hAnsi="Verdana"/>
          <w:sz w:val="18"/>
          <w:szCs w:val="18"/>
        </w:rPr>
        <w:t xml:space="preserve">by navigating to </w:t>
      </w:r>
      <w:r w:rsidR="00035C69">
        <w:rPr>
          <w:rFonts w:ascii="Verdana" w:hAnsi="Verdana"/>
          <w:sz w:val="18"/>
          <w:szCs w:val="18"/>
        </w:rPr>
        <w:t>“</w:t>
      </w:r>
      <w:r w:rsidR="00953B5D">
        <w:rPr>
          <w:rFonts w:ascii="Verdana" w:hAnsi="Verdana"/>
          <w:sz w:val="18"/>
          <w:szCs w:val="18"/>
        </w:rPr>
        <w:t xml:space="preserve">EOY </w:t>
      </w:r>
      <w:r w:rsidR="00D5723F">
        <w:rPr>
          <w:rFonts w:ascii="Verdana" w:hAnsi="Verdana"/>
          <w:sz w:val="18"/>
          <w:szCs w:val="18"/>
        </w:rPr>
        <w:t>Reports</w:t>
      </w:r>
      <w:r w:rsidR="00953B5D">
        <w:rPr>
          <w:rFonts w:ascii="Verdana" w:hAnsi="Verdana"/>
          <w:sz w:val="18"/>
          <w:szCs w:val="18"/>
        </w:rPr>
        <w:t>,</w:t>
      </w:r>
      <w:r w:rsidR="00035C69">
        <w:rPr>
          <w:rFonts w:ascii="Verdana" w:hAnsi="Verdana"/>
          <w:sz w:val="18"/>
          <w:szCs w:val="18"/>
        </w:rPr>
        <w:t>”</w:t>
      </w:r>
      <w:r w:rsidR="0076640A">
        <w:rPr>
          <w:rFonts w:ascii="Verdana" w:hAnsi="Verdana"/>
          <w:sz w:val="18"/>
          <w:szCs w:val="18"/>
        </w:rPr>
        <w:t xml:space="preserve"> </w:t>
      </w:r>
      <w:r w:rsidR="00967838">
        <w:rPr>
          <w:rFonts w:ascii="Verdana" w:hAnsi="Verdana"/>
          <w:sz w:val="18"/>
          <w:szCs w:val="18"/>
        </w:rPr>
        <w:t>the</w:t>
      </w:r>
      <w:r w:rsidR="0076640A">
        <w:rPr>
          <w:rFonts w:ascii="Verdana" w:hAnsi="Verdana"/>
          <w:sz w:val="18"/>
          <w:szCs w:val="18"/>
        </w:rPr>
        <w:t>n</w:t>
      </w:r>
      <w:r w:rsidR="00967838">
        <w:rPr>
          <w:rFonts w:ascii="Verdana" w:hAnsi="Verdana"/>
          <w:sz w:val="18"/>
          <w:szCs w:val="18"/>
        </w:rPr>
        <w:t xml:space="preserve"> VR11</w:t>
      </w:r>
      <w:r w:rsidR="0076640A">
        <w:rPr>
          <w:rFonts w:ascii="Verdana" w:hAnsi="Verdana"/>
          <w:sz w:val="18"/>
          <w:szCs w:val="18"/>
        </w:rPr>
        <w:t>, then</w:t>
      </w:r>
      <w:r w:rsidR="00967838">
        <w:rPr>
          <w:rFonts w:ascii="Verdana" w:hAnsi="Verdana"/>
          <w:sz w:val="18"/>
          <w:szCs w:val="18"/>
        </w:rPr>
        <w:t xml:space="preserve"> choosing </w:t>
      </w:r>
      <w:r w:rsidR="00AB03C8">
        <w:rPr>
          <w:rFonts w:ascii="Verdana" w:hAnsi="Verdana"/>
          <w:sz w:val="18"/>
          <w:szCs w:val="18"/>
        </w:rPr>
        <w:t xml:space="preserve">“Included </w:t>
      </w:r>
      <w:r w:rsidR="00614A0D">
        <w:rPr>
          <w:rFonts w:ascii="Verdana" w:hAnsi="Verdana"/>
          <w:sz w:val="18"/>
          <w:szCs w:val="18"/>
        </w:rPr>
        <w:t>p</w:t>
      </w:r>
      <w:r w:rsidR="00AB03C8">
        <w:rPr>
          <w:rFonts w:ascii="Verdana" w:hAnsi="Verdana"/>
          <w:sz w:val="18"/>
          <w:szCs w:val="18"/>
        </w:rPr>
        <w:t xml:space="preserve">reschool </w:t>
      </w:r>
      <w:r w:rsidR="00614A0D">
        <w:rPr>
          <w:rFonts w:ascii="Verdana" w:hAnsi="Verdana"/>
          <w:sz w:val="18"/>
          <w:szCs w:val="18"/>
        </w:rPr>
        <w:t>s</w:t>
      </w:r>
      <w:r w:rsidR="00AB03C8">
        <w:rPr>
          <w:rFonts w:ascii="Verdana" w:hAnsi="Verdana"/>
          <w:sz w:val="18"/>
          <w:szCs w:val="18"/>
        </w:rPr>
        <w:t xml:space="preserve">tudents for VR11” or </w:t>
      </w:r>
      <w:r w:rsidR="00A023D6">
        <w:rPr>
          <w:rFonts w:ascii="Verdana" w:hAnsi="Verdana"/>
          <w:sz w:val="18"/>
          <w:szCs w:val="18"/>
        </w:rPr>
        <w:t>“</w:t>
      </w:r>
      <w:r w:rsidR="00AB03C8">
        <w:rPr>
          <w:rFonts w:ascii="Verdana" w:hAnsi="Verdana"/>
          <w:sz w:val="18"/>
          <w:szCs w:val="18"/>
        </w:rPr>
        <w:t xml:space="preserve">Included </w:t>
      </w:r>
      <w:r w:rsidR="00614A0D">
        <w:rPr>
          <w:rFonts w:ascii="Verdana" w:hAnsi="Verdana"/>
          <w:sz w:val="18"/>
          <w:szCs w:val="18"/>
        </w:rPr>
        <w:t>s</w:t>
      </w:r>
      <w:r w:rsidR="00AB03C8">
        <w:rPr>
          <w:rFonts w:ascii="Verdana" w:hAnsi="Verdana"/>
          <w:sz w:val="18"/>
          <w:szCs w:val="18"/>
        </w:rPr>
        <w:t xml:space="preserve">chool </w:t>
      </w:r>
      <w:r w:rsidR="00614A0D">
        <w:rPr>
          <w:rFonts w:ascii="Verdana" w:hAnsi="Verdana"/>
          <w:sz w:val="18"/>
          <w:szCs w:val="18"/>
        </w:rPr>
        <w:t>age students for VR11</w:t>
      </w:r>
      <w:r w:rsidR="00D271A2">
        <w:rPr>
          <w:rFonts w:ascii="Verdana" w:hAnsi="Verdana"/>
          <w:sz w:val="18"/>
          <w:szCs w:val="18"/>
        </w:rPr>
        <w:t>”.</w:t>
      </w:r>
    </w:p>
    <w:p w14:paraId="6B0E1053" w14:textId="77777777" w:rsidR="00A433C6" w:rsidRPr="00D41299" w:rsidRDefault="00A433C6" w:rsidP="00A433C6">
      <w:pPr>
        <w:rPr>
          <w:rFonts w:ascii="Verdana" w:hAnsi="Verdana"/>
          <w:sz w:val="18"/>
          <w:szCs w:val="18"/>
        </w:rPr>
      </w:pPr>
    </w:p>
    <w:p w14:paraId="5ABB8786" w14:textId="4F2844DB" w:rsidR="004633AB" w:rsidRDefault="00A433C6" w:rsidP="00A433C6">
      <w:pPr>
        <w:rPr>
          <w:rFonts w:ascii="Verdana" w:hAnsi="Verdana"/>
          <w:sz w:val="18"/>
          <w:szCs w:val="18"/>
        </w:rPr>
      </w:pPr>
      <w:r w:rsidRPr="00D41299">
        <w:rPr>
          <w:rFonts w:ascii="Verdana" w:hAnsi="Verdana"/>
          <w:sz w:val="18"/>
          <w:szCs w:val="18"/>
        </w:rPr>
        <w:t xml:space="preserve">2. </w:t>
      </w:r>
      <w:r w:rsidR="004633AB">
        <w:rPr>
          <w:rFonts w:ascii="Verdana" w:hAnsi="Verdana"/>
          <w:sz w:val="18"/>
          <w:szCs w:val="18"/>
        </w:rPr>
        <w:t>Review the data to verify that each included student was reported with a Date of Meeting to Discuss Completed Evaluation and if this date is beyond sixty days from the Date of Receipt of Parent Consent to Evaluate, a Delay Reason Code has been reported.</w:t>
      </w:r>
    </w:p>
    <w:p w14:paraId="56E67640" w14:textId="45141EF3" w:rsidR="004633AB" w:rsidRDefault="004633AB" w:rsidP="00A433C6">
      <w:pPr>
        <w:rPr>
          <w:rFonts w:ascii="Verdana" w:hAnsi="Verdana"/>
          <w:sz w:val="18"/>
          <w:szCs w:val="18"/>
        </w:rPr>
      </w:pPr>
    </w:p>
    <w:p w14:paraId="2FF41D01" w14:textId="6813F795" w:rsidR="004633AB" w:rsidRDefault="004633AB" w:rsidP="00A433C6">
      <w:pPr>
        <w:rPr>
          <w:rFonts w:ascii="Verdana" w:hAnsi="Verdana"/>
          <w:sz w:val="18"/>
          <w:szCs w:val="18"/>
        </w:rPr>
      </w:pPr>
      <w:r>
        <w:rPr>
          <w:rFonts w:ascii="Verdana" w:hAnsi="Verdana"/>
          <w:sz w:val="18"/>
          <w:szCs w:val="18"/>
        </w:rPr>
        <w:t xml:space="preserve">3. Review the data to verify </w:t>
      </w:r>
      <w:r w:rsidR="0069162F">
        <w:rPr>
          <w:rFonts w:ascii="Verdana" w:hAnsi="Verdana"/>
          <w:sz w:val="18"/>
          <w:szCs w:val="18"/>
        </w:rPr>
        <w:t>that each Delay Reason Code reported is accurate.</w:t>
      </w:r>
    </w:p>
    <w:p w14:paraId="610DEE5C" w14:textId="344364A1" w:rsidR="0069162F" w:rsidRDefault="0069162F" w:rsidP="00A433C6">
      <w:pPr>
        <w:rPr>
          <w:rFonts w:ascii="Verdana" w:hAnsi="Verdana"/>
          <w:sz w:val="18"/>
          <w:szCs w:val="18"/>
        </w:rPr>
      </w:pPr>
    </w:p>
    <w:p w14:paraId="20D3C469" w14:textId="6375F138" w:rsidR="0032447F" w:rsidRPr="00C95AC1" w:rsidRDefault="0025187A" w:rsidP="0032447F">
      <w:pPr>
        <w:rPr>
          <w:rFonts w:ascii="Verdana" w:hAnsi="Verdana"/>
          <w:iCs/>
          <w:color w:val="000000"/>
          <w:sz w:val="18"/>
          <w:szCs w:val="18"/>
          <w:shd w:val="clear" w:color="auto" w:fill="FFFFFF"/>
        </w:rPr>
      </w:pPr>
      <w:r>
        <w:rPr>
          <w:rFonts w:ascii="Verdana" w:hAnsi="Verdana"/>
          <w:sz w:val="18"/>
          <w:szCs w:val="18"/>
        </w:rPr>
        <w:t>4.</w:t>
      </w:r>
      <w:r w:rsidR="004633AB">
        <w:rPr>
          <w:rFonts w:ascii="Verdana" w:hAnsi="Verdana"/>
          <w:sz w:val="18"/>
          <w:szCs w:val="18"/>
        </w:rPr>
        <w:t xml:space="preserve"> </w:t>
      </w:r>
      <w:r w:rsidR="00A433C6">
        <w:rPr>
          <w:rFonts w:ascii="Verdana" w:hAnsi="Verdana"/>
          <w:sz w:val="18"/>
          <w:szCs w:val="18"/>
        </w:rPr>
        <w:t>Review</w:t>
      </w:r>
      <w:r w:rsidR="00A433C6" w:rsidRPr="00D41299">
        <w:rPr>
          <w:rFonts w:ascii="Verdana" w:hAnsi="Verdana"/>
          <w:sz w:val="18"/>
          <w:szCs w:val="18"/>
        </w:rPr>
        <w:t xml:space="preserve"> the </w:t>
      </w:r>
      <w:r w:rsidR="00A433C6">
        <w:rPr>
          <w:rFonts w:ascii="Verdana" w:hAnsi="Verdana"/>
          <w:sz w:val="18"/>
          <w:szCs w:val="18"/>
        </w:rPr>
        <w:t>list of potential students to verify that the</w:t>
      </w:r>
      <w:r w:rsidR="0069162F">
        <w:rPr>
          <w:rFonts w:ascii="Verdana" w:hAnsi="Verdana"/>
          <w:sz w:val="18"/>
          <w:szCs w:val="18"/>
        </w:rPr>
        <w:t>se students</w:t>
      </w:r>
      <w:r w:rsidR="00A433C6">
        <w:rPr>
          <w:rFonts w:ascii="Verdana" w:hAnsi="Verdana"/>
          <w:sz w:val="18"/>
          <w:szCs w:val="18"/>
        </w:rPr>
        <w:t xml:space="preserve"> </w:t>
      </w:r>
      <w:r w:rsidR="00A433C6" w:rsidRPr="00D41299">
        <w:rPr>
          <w:rFonts w:ascii="Verdana" w:hAnsi="Verdana"/>
          <w:sz w:val="18"/>
          <w:szCs w:val="18"/>
        </w:rPr>
        <w:t xml:space="preserve">do not meet the criteria to be </w:t>
      </w:r>
      <w:r w:rsidR="00A433C6">
        <w:rPr>
          <w:rFonts w:ascii="Verdana" w:hAnsi="Verdana"/>
          <w:sz w:val="18"/>
          <w:szCs w:val="18"/>
        </w:rPr>
        <w:t>in</w:t>
      </w:r>
      <w:r w:rsidR="00A433C6" w:rsidRPr="00D41299">
        <w:rPr>
          <w:rFonts w:ascii="Verdana" w:hAnsi="Verdana"/>
          <w:sz w:val="18"/>
          <w:szCs w:val="18"/>
        </w:rPr>
        <w:t>cluded.</w:t>
      </w:r>
      <w:r w:rsidR="0082235E">
        <w:rPr>
          <w:rFonts w:ascii="Verdana" w:hAnsi="Verdana"/>
          <w:sz w:val="18"/>
          <w:szCs w:val="18"/>
        </w:rPr>
        <w:t xml:space="preserve"> You view and download lists of </w:t>
      </w:r>
      <w:r w:rsidR="00456B12">
        <w:rPr>
          <w:rFonts w:ascii="Verdana" w:hAnsi="Verdana"/>
          <w:sz w:val="18"/>
          <w:szCs w:val="18"/>
        </w:rPr>
        <w:t>potential</w:t>
      </w:r>
      <w:r w:rsidR="0082235E">
        <w:rPr>
          <w:rFonts w:ascii="Verdana" w:hAnsi="Verdana"/>
          <w:sz w:val="18"/>
          <w:szCs w:val="18"/>
        </w:rPr>
        <w:t xml:space="preserve"> students from the PD main landing page by </w:t>
      </w:r>
      <w:r w:rsidR="0082235E">
        <w:rPr>
          <w:rFonts w:ascii="Verdana" w:hAnsi="Verdana"/>
          <w:sz w:val="18"/>
          <w:szCs w:val="18"/>
        </w:rPr>
        <w:lastRenderedPageBreak/>
        <w:t>navigating to EOY Forms, then VR11, then choosing “</w:t>
      </w:r>
      <w:r w:rsidR="00A023D6">
        <w:rPr>
          <w:rFonts w:ascii="Verdana" w:hAnsi="Verdana"/>
          <w:sz w:val="18"/>
          <w:szCs w:val="18"/>
        </w:rPr>
        <w:t>Potential</w:t>
      </w:r>
      <w:r w:rsidR="0082235E">
        <w:rPr>
          <w:rFonts w:ascii="Verdana" w:hAnsi="Verdana"/>
          <w:sz w:val="18"/>
          <w:szCs w:val="18"/>
        </w:rPr>
        <w:t xml:space="preserve"> preschool students for VR11” or </w:t>
      </w:r>
      <w:r w:rsidR="00A023D6">
        <w:rPr>
          <w:rFonts w:ascii="Verdana" w:hAnsi="Verdana"/>
          <w:sz w:val="18"/>
          <w:szCs w:val="18"/>
        </w:rPr>
        <w:t>“Potential</w:t>
      </w:r>
      <w:r w:rsidR="0082235E">
        <w:rPr>
          <w:rFonts w:ascii="Verdana" w:hAnsi="Verdana"/>
          <w:sz w:val="18"/>
          <w:szCs w:val="18"/>
        </w:rPr>
        <w:t xml:space="preserve"> school age students for VR11”.</w:t>
      </w:r>
      <w:r w:rsidR="0032447F" w:rsidRPr="0032447F">
        <w:rPr>
          <w:rFonts w:ascii="Verdana" w:hAnsi="Verdana"/>
          <w:color w:val="000000"/>
          <w:sz w:val="18"/>
          <w:szCs w:val="18"/>
          <w:shd w:val="clear" w:color="auto" w:fill="FFFFFF"/>
        </w:rPr>
        <w:t xml:space="preserve"> </w:t>
      </w:r>
      <w:r w:rsidR="0032447F">
        <w:rPr>
          <w:rFonts w:ascii="Verdana" w:hAnsi="Verdana"/>
          <w:color w:val="000000"/>
          <w:sz w:val="18"/>
          <w:szCs w:val="18"/>
          <w:shd w:val="clear" w:color="auto" w:fill="FFFFFF"/>
        </w:rPr>
        <w:t xml:space="preserve">  </w:t>
      </w:r>
      <w:r w:rsidR="0032447F" w:rsidRPr="00C95AC1">
        <w:rPr>
          <w:rFonts w:ascii="Verdana" w:hAnsi="Verdana"/>
          <w:color w:val="000000"/>
          <w:sz w:val="18"/>
          <w:szCs w:val="18"/>
          <w:shd w:val="clear" w:color="auto" w:fill="FFFFFF"/>
        </w:rPr>
        <w:t xml:space="preserve">NOTE: </w:t>
      </w:r>
      <w:r w:rsidR="0032447F" w:rsidRPr="0090090E">
        <w:rPr>
          <w:rFonts w:ascii="Verdana" w:hAnsi="Verdana" w:cs="Albertus Medium"/>
          <w:color w:val="000000"/>
          <w:sz w:val="18"/>
          <w:szCs w:val="18"/>
        </w:rPr>
        <w:t xml:space="preserve">Enrollment, demographic, assessment (including COSF), Special Education Snapshot (EOY) and </w:t>
      </w:r>
      <w:r w:rsidR="002D5471" w:rsidRPr="0090090E">
        <w:rPr>
          <w:rFonts w:ascii="Verdana" w:hAnsi="Verdana" w:cs="Albertus Medium"/>
          <w:color w:val="000000"/>
          <w:sz w:val="18"/>
          <w:szCs w:val="18"/>
        </w:rPr>
        <w:t xml:space="preserve">type of </w:t>
      </w:r>
      <w:r w:rsidR="0032447F" w:rsidRPr="0090090E">
        <w:rPr>
          <w:rFonts w:ascii="Verdana" w:hAnsi="Verdana" w:cs="Albertus Medium"/>
          <w:color w:val="000000"/>
          <w:sz w:val="18"/>
          <w:szCs w:val="18"/>
        </w:rPr>
        <w:t xml:space="preserve">disability program service records for those students who are potential submission records for the </w:t>
      </w:r>
      <w:r w:rsidR="0032447F" w:rsidRPr="0090090E">
        <w:rPr>
          <w:rFonts w:ascii="Verdana" w:hAnsi="Verdana" w:cs="Albertus Medium"/>
          <w:b/>
          <w:color w:val="000000"/>
          <w:sz w:val="18"/>
          <w:szCs w:val="18"/>
        </w:rPr>
        <w:t>VR 11-16</w:t>
      </w:r>
      <w:r w:rsidR="0032447F" w:rsidRPr="0090090E">
        <w:rPr>
          <w:rFonts w:ascii="Verdana" w:hAnsi="Verdana" w:cs="Albertus Medium"/>
          <w:color w:val="000000"/>
          <w:sz w:val="18"/>
          <w:szCs w:val="18"/>
        </w:rPr>
        <w:t xml:space="preserve"> reports must be migrated to the Level 2 Student </w:t>
      </w:r>
      <w:r w:rsidR="00F50E1E" w:rsidRPr="0090090E">
        <w:rPr>
          <w:rFonts w:ascii="Verdana" w:hAnsi="Verdana" w:cs="Albertus Medium"/>
          <w:color w:val="000000"/>
          <w:sz w:val="18"/>
          <w:szCs w:val="18"/>
        </w:rPr>
        <w:t xml:space="preserve">Information </w:t>
      </w:r>
      <w:r w:rsidR="0032447F" w:rsidRPr="0090090E">
        <w:rPr>
          <w:rFonts w:ascii="Verdana" w:hAnsi="Verdana" w:cs="Albertus Medium"/>
          <w:color w:val="000000"/>
          <w:sz w:val="18"/>
          <w:szCs w:val="18"/>
        </w:rPr>
        <w:t>Repository</w:t>
      </w:r>
      <w:r w:rsidR="00F50E1E" w:rsidRPr="0090090E">
        <w:rPr>
          <w:rFonts w:ascii="Verdana" w:hAnsi="Verdana" w:cs="Albertus Medium"/>
          <w:color w:val="000000"/>
          <w:sz w:val="18"/>
          <w:szCs w:val="18"/>
        </w:rPr>
        <w:t xml:space="preserve"> System (SIRS)</w:t>
      </w:r>
      <w:r w:rsidR="0032447F" w:rsidRPr="0090090E">
        <w:rPr>
          <w:rFonts w:ascii="Verdana" w:hAnsi="Verdana" w:cs="Albertus Medium"/>
          <w:color w:val="000000"/>
          <w:sz w:val="18"/>
          <w:szCs w:val="18"/>
        </w:rPr>
        <w:t xml:space="preserve"> no later than</w:t>
      </w:r>
      <w:r w:rsidR="0032447F" w:rsidRPr="0090090E">
        <w:rPr>
          <w:rFonts w:ascii="Verdana" w:hAnsi="Verdana" w:cs="Albertus Medium"/>
          <w:color w:val="808080"/>
          <w:sz w:val="18"/>
          <w:szCs w:val="18"/>
        </w:rPr>
        <w:t xml:space="preserve"> </w:t>
      </w:r>
      <w:r w:rsidR="0032447F" w:rsidRPr="0090090E">
        <w:rPr>
          <w:rFonts w:ascii="Verdana" w:hAnsi="Verdana" w:cs="Albertus Medium"/>
          <w:b/>
          <w:color w:val="FF0000"/>
          <w:sz w:val="18"/>
          <w:szCs w:val="18"/>
          <w:u w:val="single"/>
        </w:rPr>
        <w:t xml:space="preserve">August </w:t>
      </w:r>
      <w:r w:rsidR="00122CAA" w:rsidRPr="0090090E">
        <w:rPr>
          <w:rFonts w:ascii="Verdana" w:hAnsi="Verdana" w:cs="Albertus Medium"/>
          <w:b/>
          <w:color w:val="FF0000"/>
          <w:sz w:val="18"/>
          <w:szCs w:val="18"/>
          <w:u w:val="single"/>
        </w:rPr>
        <w:t>18</w:t>
      </w:r>
      <w:r w:rsidR="0032447F" w:rsidRPr="0090090E">
        <w:rPr>
          <w:rFonts w:ascii="Verdana" w:hAnsi="Verdana" w:cs="Albertus Medium"/>
          <w:b/>
          <w:color w:val="FF0000"/>
          <w:sz w:val="18"/>
          <w:szCs w:val="18"/>
          <w:u w:val="single"/>
        </w:rPr>
        <w:t>, 202</w:t>
      </w:r>
      <w:r w:rsidR="00122CAA" w:rsidRPr="0090090E">
        <w:rPr>
          <w:rFonts w:ascii="Verdana" w:hAnsi="Verdana" w:cs="Albertus Medium"/>
          <w:b/>
          <w:color w:val="FF0000"/>
          <w:sz w:val="18"/>
          <w:szCs w:val="18"/>
          <w:u w:val="single"/>
        </w:rPr>
        <w:t>3</w:t>
      </w:r>
      <w:r w:rsidR="0032447F" w:rsidRPr="0090090E">
        <w:rPr>
          <w:rFonts w:ascii="Verdana" w:hAnsi="Verdana" w:cs="Albertus Medium"/>
          <w:color w:val="000000"/>
          <w:sz w:val="18"/>
          <w:szCs w:val="18"/>
        </w:rPr>
        <w:t xml:space="preserve">. </w:t>
      </w:r>
      <w:r w:rsidR="00576CA2" w:rsidRPr="0090090E">
        <w:rPr>
          <w:rFonts w:ascii="Verdana" w:hAnsi="Verdana" w:cs="Albertus Medium"/>
          <w:color w:val="000000"/>
          <w:sz w:val="18"/>
          <w:szCs w:val="18"/>
        </w:rPr>
        <w:t>Use</w:t>
      </w:r>
      <w:r w:rsidR="0032447F" w:rsidRPr="0090090E">
        <w:rPr>
          <w:rFonts w:ascii="Verdana" w:hAnsi="Verdana" w:cs="Albertus Medium"/>
          <w:color w:val="000000"/>
          <w:sz w:val="18"/>
          <w:szCs w:val="18"/>
        </w:rPr>
        <w:t xml:space="preserve"> the List</w:t>
      </w:r>
      <w:r w:rsidR="002915CF" w:rsidRPr="0090090E">
        <w:rPr>
          <w:rFonts w:ascii="Verdana" w:hAnsi="Verdana" w:cs="Albertus Medium"/>
          <w:color w:val="000000"/>
          <w:sz w:val="18"/>
          <w:szCs w:val="18"/>
        </w:rPr>
        <w:t>s</w:t>
      </w:r>
      <w:r w:rsidR="0032447F" w:rsidRPr="0090090E">
        <w:rPr>
          <w:rFonts w:ascii="Verdana" w:hAnsi="Verdana" w:cs="Albertus Medium"/>
          <w:color w:val="000000"/>
          <w:sz w:val="18"/>
          <w:szCs w:val="18"/>
        </w:rPr>
        <w:t xml:space="preserve"> of Potential Student Records to ascertain that all students eligible to be included in these reports are on the list with accurate information. The L2 data repository</w:t>
      </w:r>
      <w:r w:rsidR="0032447F" w:rsidRPr="0090090E">
        <w:rPr>
          <w:rFonts w:ascii="Verdana" w:hAnsi="Verdana" w:cs="Albertus Medium"/>
          <w:color w:val="808080"/>
          <w:sz w:val="18"/>
          <w:szCs w:val="18"/>
        </w:rPr>
        <w:t xml:space="preserve"> </w:t>
      </w:r>
      <w:r w:rsidR="0032447F" w:rsidRPr="0090090E">
        <w:rPr>
          <w:rFonts w:ascii="Verdana" w:hAnsi="Verdana" w:cs="Albertus Medium"/>
          <w:b/>
          <w:color w:val="FF0000"/>
          <w:sz w:val="18"/>
          <w:szCs w:val="18"/>
          <w:u w:val="single"/>
        </w:rPr>
        <w:t>will be frozen</w:t>
      </w:r>
      <w:r w:rsidR="0032447F" w:rsidRPr="0090090E">
        <w:rPr>
          <w:rFonts w:ascii="Verdana" w:hAnsi="Verdana" w:cs="Albertus Medium"/>
          <w:color w:val="808080"/>
          <w:sz w:val="18"/>
          <w:szCs w:val="18"/>
        </w:rPr>
        <w:t xml:space="preserve"> </w:t>
      </w:r>
      <w:r w:rsidR="0032447F" w:rsidRPr="0090090E">
        <w:rPr>
          <w:rFonts w:ascii="Verdana" w:hAnsi="Verdana" w:cs="Albertus Medium"/>
          <w:color w:val="000000"/>
          <w:sz w:val="18"/>
          <w:szCs w:val="18"/>
        </w:rPr>
        <w:t xml:space="preserve">with regard to new or changes in the enrollment, demographic, assessment, special education snapshot and </w:t>
      </w:r>
      <w:r w:rsidR="00B04B1C" w:rsidRPr="0090090E">
        <w:rPr>
          <w:rFonts w:ascii="Verdana" w:hAnsi="Verdana" w:cs="Albertus Medium"/>
          <w:color w:val="000000"/>
          <w:sz w:val="18"/>
          <w:szCs w:val="18"/>
        </w:rPr>
        <w:t xml:space="preserve">type of </w:t>
      </w:r>
      <w:r w:rsidR="0032447F" w:rsidRPr="0090090E">
        <w:rPr>
          <w:rFonts w:ascii="Verdana" w:hAnsi="Verdana" w:cs="Albertus Medium"/>
          <w:color w:val="000000"/>
          <w:sz w:val="18"/>
          <w:szCs w:val="18"/>
        </w:rPr>
        <w:t xml:space="preserve">disability program service records after this date in order to </w:t>
      </w:r>
      <w:r w:rsidR="00E73A29">
        <w:rPr>
          <w:rFonts w:ascii="Verdana" w:hAnsi="Verdana" w:cs="Albertus Medium"/>
          <w:color w:val="000000"/>
          <w:sz w:val="18"/>
          <w:szCs w:val="18"/>
        </w:rPr>
        <w:t xml:space="preserve">perform </w:t>
      </w:r>
      <w:r w:rsidR="0032447F" w:rsidRPr="0090090E">
        <w:rPr>
          <w:rFonts w:ascii="Verdana" w:hAnsi="Verdana" w:cs="Albertus Medium"/>
          <w:color w:val="000000"/>
          <w:sz w:val="18"/>
          <w:szCs w:val="18"/>
        </w:rPr>
        <w:t>accountability calculations.</w:t>
      </w:r>
      <w:r w:rsidR="0038354E" w:rsidRPr="0090090E">
        <w:rPr>
          <w:rFonts w:ascii="Verdana" w:hAnsi="Verdana" w:cs="Albertus Medium"/>
          <w:color w:val="000000"/>
          <w:sz w:val="18"/>
          <w:szCs w:val="18"/>
        </w:rPr>
        <w:t xml:space="preserve"> </w:t>
      </w:r>
      <w:r w:rsidR="0038354E" w:rsidRPr="0090090E">
        <w:rPr>
          <w:rFonts w:ascii="Verdana" w:hAnsi="Verdana" w:cs="Albertus Medium"/>
          <w:i/>
          <w:color w:val="000000"/>
          <w:sz w:val="18"/>
          <w:szCs w:val="18"/>
          <w:u w:val="single"/>
        </w:rPr>
        <w:t>This means that if</w:t>
      </w:r>
      <w:r w:rsidR="00E76D98" w:rsidRPr="0090090E">
        <w:rPr>
          <w:rFonts w:ascii="Verdana" w:hAnsi="Verdana" w:cs="Albertus Medium"/>
          <w:i/>
          <w:color w:val="000000"/>
          <w:sz w:val="18"/>
          <w:szCs w:val="18"/>
          <w:u w:val="single"/>
        </w:rPr>
        <w:t xml:space="preserve"> you submit special education events data for a student who</w:t>
      </w:r>
      <w:r w:rsidR="005F2B8F" w:rsidRPr="0090090E">
        <w:rPr>
          <w:rFonts w:ascii="Verdana" w:hAnsi="Verdana" w:cs="Albertus Medium"/>
          <w:i/>
          <w:color w:val="000000"/>
          <w:sz w:val="18"/>
          <w:szCs w:val="18"/>
          <w:u w:val="single"/>
        </w:rPr>
        <w:t xml:space="preserve"> does not have</w:t>
      </w:r>
      <w:r w:rsidR="005A246A" w:rsidRPr="0090090E">
        <w:rPr>
          <w:rFonts w:ascii="Verdana" w:hAnsi="Verdana" w:cs="Albertus Medium"/>
          <w:i/>
          <w:color w:val="000000"/>
          <w:sz w:val="18"/>
          <w:szCs w:val="18"/>
          <w:u w:val="single"/>
        </w:rPr>
        <w:t xml:space="preserve"> enrollment, demographic, assessment, </w:t>
      </w:r>
      <w:r w:rsidR="00084297" w:rsidRPr="0090090E">
        <w:rPr>
          <w:rFonts w:ascii="Verdana" w:hAnsi="Verdana" w:cs="Albertus Medium"/>
          <w:i/>
          <w:color w:val="000000"/>
          <w:sz w:val="18"/>
          <w:szCs w:val="18"/>
          <w:u w:val="single"/>
        </w:rPr>
        <w:t>s</w:t>
      </w:r>
      <w:r w:rsidR="005A246A" w:rsidRPr="0090090E">
        <w:rPr>
          <w:rFonts w:ascii="Verdana" w:hAnsi="Verdana" w:cs="Albertus Medium"/>
          <w:i/>
          <w:color w:val="000000"/>
          <w:sz w:val="18"/>
          <w:szCs w:val="18"/>
          <w:u w:val="single"/>
        </w:rPr>
        <w:t xml:space="preserve">pecial </w:t>
      </w:r>
      <w:r w:rsidR="00084297" w:rsidRPr="0090090E">
        <w:rPr>
          <w:rFonts w:ascii="Verdana" w:hAnsi="Verdana" w:cs="Albertus Medium"/>
          <w:i/>
          <w:color w:val="000000"/>
          <w:sz w:val="18"/>
          <w:szCs w:val="18"/>
          <w:u w:val="single"/>
        </w:rPr>
        <w:t>e</w:t>
      </w:r>
      <w:r w:rsidR="005A246A" w:rsidRPr="0090090E">
        <w:rPr>
          <w:rFonts w:ascii="Verdana" w:hAnsi="Verdana" w:cs="Albertus Medium"/>
          <w:i/>
          <w:color w:val="000000"/>
          <w:sz w:val="18"/>
          <w:szCs w:val="18"/>
          <w:u w:val="single"/>
        </w:rPr>
        <w:t xml:space="preserve">ducation </w:t>
      </w:r>
      <w:r w:rsidR="00084297" w:rsidRPr="0090090E">
        <w:rPr>
          <w:rFonts w:ascii="Verdana" w:hAnsi="Verdana" w:cs="Albertus Medium"/>
          <w:i/>
          <w:color w:val="000000"/>
          <w:sz w:val="18"/>
          <w:szCs w:val="18"/>
          <w:u w:val="single"/>
        </w:rPr>
        <w:t>s</w:t>
      </w:r>
      <w:r w:rsidR="005A246A" w:rsidRPr="0090090E">
        <w:rPr>
          <w:rFonts w:ascii="Verdana" w:hAnsi="Verdana" w:cs="Albertus Medium"/>
          <w:i/>
          <w:color w:val="000000"/>
          <w:sz w:val="18"/>
          <w:szCs w:val="18"/>
          <w:u w:val="single"/>
        </w:rPr>
        <w:t xml:space="preserve">napshot  and </w:t>
      </w:r>
      <w:r w:rsidR="00856BF8" w:rsidRPr="0090090E">
        <w:rPr>
          <w:rFonts w:ascii="Verdana" w:hAnsi="Verdana" w:cs="Albertus Medium"/>
          <w:i/>
          <w:color w:val="000000"/>
          <w:sz w:val="18"/>
          <w:szCs w:val="18"/>
          <w:u w:val="single"/>
        </w:rPr>
        <w:t xml:space="preserve">type of </w:t>
      </w:r>
      <w:r w:rsidR="005A246A" w:rsidRPr="0090090E">
        <w:rPr>
          <w:rFonts w:ascii="Verdana" w:hAnsi="Verdana" w:cs="Albertus Medium"/>
          <w:i/>
          <w:color w:val="000000"/>
          <w:sz w:val="18"/>
          <w:szCs w:val="18"/>
          <w:u w:val="single"/>
        </w:rPr>
        <w:t>disability program service</w:t>
      </w:r>
      <w:r w:rsidR="00BE50C0" w:rsidRPr="0090090E">
        <w:rPr>
          <w:rFonts w:ascii="Verdana" w:hAnsi="Verdana" w:cs="Albertus Medium"/>
          <w:i/>
          <w:color w:val="000000"/>
          <w:sz w:val="18"/>
          <w:szCs w:val="18"/>
          <w:u w:val="single"/>
        </w:rPr>
        <w:t xml:space="preserve"> record</w:t>
      </w:r>
      <w:r w:rsidR="00523BE1" w:rsidRPr="0090090E">
        <w:rPr>
          <w:rFonts w:ascii="Verdana" w:hAnsi="Verdana" w:cs="Albertus Medium"/>
          <w:i/>
          <w:color w:val="000000"/>
          <w:sz w:val="18"/>
          <w:szCs w:val="18"/>
          <w:u w:val="single"/>
        </w:rPr>
        <w:t>s</w:t>
      </w:r>
      <w:r w:rsidR="00602339" w:rsidRPr="0090090E">
        <w:rPr>
          <w:rFonts w:ascii="Verdana" w:hAnsi="Verdana" w:cs="Albertus Medium"/>
          <w:i/>
          <w:color w:val="000000"/>
          <w:sz w:val="18"/>
          <w:szCs w:val="18"/>
          <w:u w:val="single"/>
        </w:rPr>
        <w:t xml:space="preserve"> </w:t>
      </w:r>
      <w:r w:rsidR="00F208B7" w:rsidRPr="0090090E">
        <w:rPr>
          <w:rFonts w:ascii="Verdana" w:hAnsi="Verdana" w:cs="Albertus Medium"/>
          <w:i/>
          <w:color w:val="000000"/>
          <w:sz w:val="18"/>
          <w:szCs w:val="18"/>
          <w:u w:val="single"/>
        </w:rPr>
        <w:t xml:space="preserve">in </w:t>
      </w:r>
      <w:r w:rsidR="00F50E1E" w:rsidRPr="0090090E">
        <w:rPr>
          <w:rFonts w:ascii="Verdana" w:hAnsi="Verdana" w:cs="Albertus Medium"/>
          <w:i/>
          <w:color w:val="000000"/>
          <w:sz w:val="18"/>
          <w:szCs w:val="18"/>
          <w:u w:val="single"/>
        </w:rPr>
        <w:t>SIRS by</w:t>
      </w:r>
      <w:r w:rsidR="008A5C77" w:rsidRPr="0090090E">
        <w:rPr>
          <w:rFonts w:ascii="Verdana" w:hAnsi="Verdana" w:cs="Albertus Medium"/>
          <w:i/>
          <w:color w:val="000000"/>
          <w:sz w:val="18"/>
          <w:szCs w:val="18"/>
          <w:u w:val="single"/>
        </w:rPr>
        <w:t xml:space="preserve"> August 18, 2023, </w:t>
      </w:r>
      <w:r w:rsidR="002F0DED" w:rsidRPr="0090090E">
        <w:rPr>
          <w:rFonts w:ascii="Verdana" w:hAnsi="Verdana" w:cs="Albertus Medium"/>
          <w:i/>
          <w:color w:val="000000"/>
          <w:sz w:val="18"/>
          <w:szCs w:val="18"/>
          <w:u w:val="single"/>
        </w:rPr>
        <w:t>your special education events data will</w:t>
      </w:r>
      <w:r w:rsidR="00B77B08" w:rsidRPr="0090090E">
        <w:rPr>
          <w:rFonts w:ascii="Verdana" w:hAnsi="Verdana" w:cs="Albertus Medium"/>
          <w:i/>
          <w:color w:val="000000"/>
          <w:sz w:val="18"/>
          <w:szCs w:val="18"/>
          <w:u w:val="single"/>
        </w:rPr>
        <w:t xml:space="preserve"> </w:t>
      </w:r>
      <w:r w:rsidR="002911E6" w:rsidRPr="0090090E">
        <w:rPr>
          <w:rFonts w:ascii="Verdana" w:hAnsi="Verdana" w:cs="Albertus Medium"/>
          <w:i/>
          <w:color w:val="000000"/>
          <w:sz w:val="18"/>
          <w:szCs w:val="18"/>
          <w:u w:val="single"/>
        </w:rPr>
        <w:t xml:space="preserve">not </w:t>
      </w:r>
      <w:r w:rsidR="00B77B08" w:rsidRPr="0090090E">
        <w:rPr>
          <w:rFonts w:ascii="Verdana" w:hAnsi="Verdana" w:cs="Albertus Medium"/>
          <w:i/>
          <w:color w:val="000000"/>
          <w:sz w:val="18"/>
          <w:szCs w:val="18"/>
          <w:u w:val="single"/>
        </w:rPr>
        <w:t>flow to SIRS for any students</w:t>
      </w:r>
      <w:r w:rsidR="002B2721" w:rsidRPr="0090090E">
        <w:rPr>
          <w:rFonts w:ascii="Verdana" w:hAnsi="Verdana" w:cs="Albertus Medium"/>
          <w:i/>
          <w:color w:val="000000"/>
          <w:sz w:val="18"/>
          <w:szCs w:val="18"/>
          <w:u w:val="single"/>
        </w:rPr>
        <w:t>.</w:t>
      </w:r>
    </w:p>
    <w:p w14:paraId="15CDA31B" w14:textId="77777777" w:rsidR="00A433C6" w:rsidRPr="00D41299" w:rsidRDefault="00A433C6" w:rsidP="00A433C6">
      <w:pPr>
        <w:rPr>
          <w:rFonts w:ascii="Verdana" w:hAnsi="Verdana"/>
          <w:sz w:val="18"/>
          <w:szCs w:val="18"/>
        </w:rPr>
      </w:pPr>
    </w:p>
    <w:p w14:paraId="4F1AD010" w14:textId="074972FA" w:rsidR="0075432B" w:rsidRDefault="0025187A" w:rsidP="00A433C6">
      <w:pPr>
        <w:rPr>
          <w:rFonts w:ascii="Verdana" w:hAnsi="Verdana"/>
          <w:b/>
          <w:bCs/>
          <w:color w:val="000000"/>
          <w:sz w:val="18"/>
          <w:szCs w:val="18"/>
          <w:shd w:val="clear" w:color="auto" w:fill="FFFFFF"/>
        </w:rPr>
      </w:pPr>
      <w:r>
        <w:rPr>
          <w:rFonts w:ascii="Verdana" w:hAnsi="Verdana"/>
          <w:color w:val="000000"/>
          <w:sz w:val="18"/>
          <w:szCs w:val="18"/>
          <w:shd w:val="clear" w:color="auto" w:fill="FFFFFF"/>
        </w:rPr>
        <w:t>5</w:t>
      </w:r>
      <w:r w:rsidR="00A433C6" w:rsidRPr="00D41299">
        <w:rPr>
          <w:rFonts w:ascii="Verdana" w:hAnsi="Verdana"/>
          <w:color w:val="000000"/>
          <w:sz w:val="18"/>
          <w:szCs w:val="18"/>
          <w:shd w:val="clear" w:color="auto" w:fill="FFFFFF"/>
        </w:rPr>
        <w:t xml:space="preserve">. If </w:t>
      </w:r>
      <w:r w:rsidR="0069162F">
        <w:rPr>
          <w:rFonts w:ascii="Verdana" w:hAnsi="Verdana"/>
          <w:color w:val="000000"/>
          <w:sz w:val="18"/>
          <w:szCs w:val="18"/>
          <w:shd w:val="clear" w:color="auto" w:fill="FFFFFF"/>
        </w:rPr>
        <w:t xml:space="preserve">data in this report </w:t>
      </w:r>
      <w:r w:rsidR="00492BD4">
        <w:rPr>
          <w:rFonts w:ascii="Verdana" w:hAnsi="Verdana"/>
          <w:color w:val="000000"/>
          <w:sz w:val="18"/>
          <w:szCs w:val="18"/>
          <w:shd w:val="clear" w:color="auto" w:fill="FFFFFF"/>
        </w:rPr>
        <w:t>is inaccurate</w:t>
      </w:r>
      <w:r w:rsidR="0042501E">
        <w:rPr>
          <w:rFonts w:ascii="Verdana" w:hAnsi="Verdana"/>
          <w:color w:val="000000"/>
          <w:sz w:val="18"/>
          <w:szCs w:val="18"/>
          <w:shd w:val="clear" w:color="auto" w:fill="FFFFFF"/>
        </w:rPr>
        <w:t xml:space="preserve"> and </w:t>
      </w:r>
      <w:r w:rsidR="0069162F">
        <w:rPr>
          <w:rFonts w:ascii="Verdana" w:hAnsi="Verdana"/>
          <w:color w:val="000000"/>
          <w:sz w:val="18"/>
          <w:szCs w:val="18"/>
          <w:shd w:val="clear" w:color="auto" w:fill="FFFFFF"/>
        </w:rPr>
        <w:t>needs to be revised</w:t>
      </w:r>
      <w:r w:rsidR="00A433C6" w:rsidRPr="00D41299">
        <w:rPr>
          <w:rFonts w:ascii="Verdana" w:hAnsi="Verdana"/>
          <w:color w:val="000000"/>
          <w:sz w:val="18"/>
          <w:szCs w:val="18"/>
          <w:shd w:val="clear" w:color="auto" w:fill="FFFFFF"/>
        </w:rPr>
        <w:t xml:space="preserve">, please submit the revised data to your Regional Information Center </w:t>
      </w:r>
      <w:r w:rsidR="00F37C1F">
        <w:rPr>
          <w:rFonts w:ascii="Verdana" w:hAnsi="Verdana"/>
          <w:color w:val="000000"/>
          <w:sz w:val="18"/>
          <w:szCs w:val="18"/>
          <w:shd w:val="clear" w:color="auto" w:fill="FFFFFF"/>
        </w:rPr>
        <w:t xml:space="preserve">(RIC) </w:t>
      </w:r>
      <w:r w:rsidR="00A433C6" w:rsidRPr="00D41299">
        <w:rPr>
          <w:rFonts w:ascii="Verdana" w:hAnsi="Verdana"/>
          <w:color w:val="000000"/>
          <w:sz w:val="18"/>
          <w:szCs w:val="18"/>
          <w:shd w:val="clear" w:color="auto" w:fill="FFFFFF"/>
        </w:rPr>
        <w:t xml:space="preserve">or, for large cities, to the state data warehouse prior to the certification due date. Check with your RIC on their deadline for submitting data </w:t>
      </w:r>
      <w:r w:rsidR="00A433C6">
        <w:rPr>
          <w:rFonts w:ascii="Verdana" w:hAnsi="Verdana"/>
          <w:color w:val="000000"/>
          <w:sz w:val="18"/>
          <w:szCs w:val="18"/>
          <w:shd w:val="clear" w:color="auto" w:fill="FFFFFF"/>
        </w:rPr>
        <w:t>to</w:t>
      </w:r>
      <w:r w:rsidR="00A433C6" w:rsidRPr="00D41299">
        <w:rPr>
          <w:rFonts w:ascii="Verdana" w:hAnsi="Verdana"/>
          <w:color w:val="000000"/>
          <w:sz w:val="18"/>
          <w:szCs w:val="18"/>
          <w:shd w:val="clear" w:color="auto" w:fill="FFFFFF"/>
        </w:rPr>
        <w:t xml:space="preserve"> ensure that the data is refreshed in PD by the certification due date. The RIC deadline will be in the week prior to the certification due date.</w:t>
      </w:r>
      <w:r w:rsidR="002E332C">
        <w:rPr>
          <w:rFonts w:ascii="Verdana" w:hAnsi="Verdana"/>
          <w:color w:val="000000"/>
          <w:sz w:val="18"/>
          <w:szCs w:val="18"/>
          <w:shd w:val="clear" w:color="auto" w:fill="FFFFFF"/>
        </w:rPr>
        <w:t xml:space="preserve">   </w:t>
      </w:r>
      <w:r w:rsidR="002E332C" w:rsidRPr="0090090E">
        <w:rPr>
          <w:rFonts w:ascii="Verdana" w:hAnsi="Verdana"/>
          <w:b/>
          <w:bCs/>
          <w:color w:val="000000"/>
          <w:sz w:val="18"/>
          <w:szCs w:val="18"/>
          <w:shd w:val="clear" w:color="auto" w:fill="FFFFFF"/>
        </w:rPr>
        <w:t>Revised data must be submitted in time to be refreshed in PD prior to the certification due date.</w:t>
      </w:r>
      <w:r w:rsidR="00227834">
        <w:rPr>
          <w:rFonts w:ascii="Verdana" w:hAnsi="Verdana"/>
          <w:color w:val="000000"/>
          <w:sz w:val="18"/>
          <w:szCs w:val="18"/>
          <w:shd w:val="clear" w:color="auto" w:fill="FFFFFF"/>
        </w:rPr>
        <w:t xml:space="preserve"> </w:t>
      </w:r>
      <w:r w:rsidR="00227834" w:rsidRPr="0090090E">
        <w:rPr>
          <w:rFonts w:ascii="Verdana" w:hAnsi="Verdana"/>
          <w:b/>
          <w:bCs/>
          <w:color w:val="000000"/>
          <w:sz w:val="18"/>
          <w:szCs w:val="18"/>
          <w:shd w:val="clear" w:color="auto" w:fill="FFFFFF"/>
        </w:rPr>
        <w:t>Data will be locked in PD after the certification due date</w:t>
      </w:r>
      <w:r w:rsidR="003C22FC" w:rsidRPr="0090090E">
        <w:rPr>
          <w:rFonts w:ascii="Verdana" w:hAnsi="Verdana"/>
          <w:b/>
          <w:bCs/>
          <w:color w:val="000000"/>
          <w:sz w:val="18"/>
          <w:szCs w:val="18"/>
          <w:shd w:val="clear" w:color="auto" w:fill="FFFFFF"/>
        </w:rPr>
        <w:t>.</w:t>
      </w:r>
    </w:p>
    <w:p w14:paraId="2B6B04D1" w14:textId="77777777" w:rsidR="00505FC6" w:rsidRDefault="00505FC6" w:rsidP="00A433C6">
      <w:pPr>
        <w:rPr>
          <w:rFonts w:ascii="Verdana" w:hAnsi="Verdana"/>
          <w:b/>
          <w:bCs/>
          <w:color w:val="000000"/>
          <w:sz w:val="18"/>
          <w:szCs w:val="18"/>
          <w:shd w:val="clear" w:color="auto" w:fill="FFFFFF"/>
        </w:rPr>
      </w:pPr>
    </w:p>
    <w:p w14:paraId="431EB093" w14:textId="4C6A9BE3" w:rsidR="0075432B" w:rsidRDefault="00505FC6" w:rsidP="00A433C6">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6. </w:t>
      </w:r>
      <w:r w:rsidR="00F92802">
        <w:rPr>
          <w:rFonts w:ascii="Verdana" w:hAnsi="Verdana"/>
          <w:color w:val="000000"/>
          <w:sz w:val="18"/>
          <w:szCs w:val="18"/>
          <w:shd w:val="clear" w:color="auto" w:fill="FFFFFF"/>
        </w:rPr>
        <w:t>Certify the data as accurate after you have reviewed the data and made any necessary corrections.</w:t>
      </w:r>
    </w:p>
    <w:p w14:paraId="63F23D10" w14:textId="031C361A" w:rsidR="00A433C6" w:rsidRDefault="00A433C6" w:rsidP="00A433C6">
      <w:pPr>
        <w:rPr>
          <w:rFonts w:ascii="Verdana" w:hAnsi="Verdana"/>
          <w:color w:val="000000"/>
          <w:sz w:val="18"/>
          <w:szCs w:val="18"/>
          <w:shd w:val="clear" w:color="auto" w:fill="FFFFFF"/>
        </w:rPr>
      </w:pPr>
    </w:p>
    <w:p w14:paraId="6C5444B5" w14:textId="79320F69" w:rsidR="00A433C6" w:rsidRPr="00D41299" w:rsidRDefault="00A433C6" w:rsidP="00A433C6">
      <w:pPr>
        <w:rPr>
          <w:rFonts w:ascii="Verdana" w:hAnsi="Verdana"/>
          <w:sz w:val="18"/>
          <w:szCs w:val="18"/>
        </w:rPr>
      </w:pPr>
      <w:r w:rsidRPr="00672AD1">
        <w:rPr>
          <w:rFonts w:ascii="Verdana" w:hAnsi="Verdana"/>
          <w:sz w:val="18"/>
          <w:szCs w:val="18"/>
        </w:rPr>
        <w:t>Below is a description of the criteria for including student records in each cell of the five rows of data in this report.</w:t>
      </w:r>
    </w:p>
    <w:p w14:paraId="5105746C" w14:textId="03AD48CD" w:rsidR="00F872B7" w:rsidRPr="00672AD1" w:rsidRDefault="00F872B7" w:rsidP="00F872B7">
      <w:pPr>
        <w:shd w:val="clear" w:color="auto" w:fill="FFFFFF"/>
        <w:spacing w:before="150" w:after="100" w:afterAutospacing="1" w:line="252" w:lineRule="atLeast"/>
        <w:rPr>
          <w:rFonts w:ascii="Verdana" w:eastAsia="Times New Roman" w:hAnsi="Verdana" w:cs="Times New Roman"/>
          <w:color w:val="000000"/>
          <w:sz w:val="18"/>
          <w:szCs w:val="18"/>
        </w:rPr>
      </w:pPr>
      <w:r w:rsidRPr="00672AD1">
        <w:rPr>
          <w:rFonts w:ascii="Verdana" w:eastAsia="Times New Roman" w:hAnsi="Verdana" w:cs="Times New Roman"/>
          <w:b/>
          <w:bCs/>
          <w:color w:val="000000"/>
          <w:sz w:val="18"/>
          <w:szCs w:val="18"/>
        </w:rPr>
        <w:t>Data for Indicator #11:</w:t>
      </w:r>
    </w:p>
    <w:tbl>
      <w:tblPr>
        <w:tblW w:w="10260" w:type="dxa"/>
        <w:tblLayout w:type="fixed"/>
        <w:tblCellMar>
          <w:top w:w="15" w:type="dxa"/>
          <w:left w:w="15" w:type="dxa"/>
          <w:bottom w:w="15" w:type="dxa"/>
          <w:right w:w="15" w:type="dxa"/>
        </w:tblCellMar>
        <w:tblLook w:val="04A0" w:firstRow="1" w:lastRow="0" w:firstColumn="1" w:lastColumn="0" w:noHBand="0" w:noVBand="1"/>
      </w:tblPr>
      <w:tblGrid>
        <w:gridCol w:w="1886"/>
        <w:gridCol w:w="2336"/>
        <w:gridCol w:w="2970"/>
        <w:gridCol w:w="3068"/>
      </w:tblGrid>
      <w:tr w:rsidR="00F872B7" w:rsidRPr="00672AD1" w14:paraId="7425B3B6"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02A958A" w14:textId="77777777" w:rsidR="00F872B7" w:rsidRPr="00672AD1" w:rsidRDefault="00F872B7" w:rsidP="00D503A7">
            <w:pPr>
              <w:rPr>
                <w:rFonts w:ascii="Verdana" w:hAnsi="Verdana"/>
                <w:sz w:val="18"/>
                <w:szCs w:val="18"/>
              </w:rPr>
            </w:pPr>
            <w:r w:rsidRPr="00672AD1">
              <w:rPr>
                <w:rFonts w:ascii="Verdana" w:hAnsi="Verdana"/>
                <w:sz w:val="18"/>
                <w:szCs w:val="18"/>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CB7BBEE" w14:textId="77777777" w:rsidR="00F872B7" w:rsidRPr="00672AD1" w:rsidRDefault="00F872B7" w:rsidP="00D503A7">
            <w:pPr>
              <w:rPr>
                <w:rFonts w:ascii="Verdana" w:hAnsi="Verdana"/>
                <w:sz w:val="18"/>
                <w:szCs w:val="18"/>
              </w:rPr>
            </w:pPr>
            <w:r w:rsidRPr="00672AD1">
              <w:rPr>
                <w:rFonts w:ascii="Verdana" w:hAnsi="Verdana"/>
                <w:sz w:val="18"/>
                <w:szCs w:val="18"/>
              </w:rPr>
              <w:t>Preschool Children</w:t>
            </w:r>
          </w:p>
        </w:tc>
        <w:tc>
          <w:tcPr>
            <w:tcW w:w="306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1FB16969" w14:textId="77777777" w:rsidR="00F872B7" w:rsidRPr="00672AD1" w:rsidRDefault="00F872B7" w:rsidP="00D503A7">
            <w:pPr>
              <w:rPr>
                <w:rFonts w:ascii="Verdana" w:hAnsi="Verdana"/>
                <w:sz w:val="18"/>
                <w:szCs w:val="18"/>
              </w:rPr>
            </w:pPr>
            <w:r w:rsidRPr="00672AD1">
              <w:rPr>
                <w:rFonts w:ascii="Verdana" w:hAnsi="Verdana"/>
                <w:sz w:val="18"/>
                <w:szCs w:val="18"/>
              </w:rPr>
              <w:t>School-Age Students</w:t>
            </w:r>
          </w:p>
        </w:tc>
      </w:tr>
      <w:tr w:rsidR="00F872B7" w:rsidRPr="00672AD1" w14:paraId="0A322989"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56C53C3" w14:textId="20C7BAF3" w:rsidR="00F872B7" w:rsidRPr="00672AD1" w:rsidRDefault="00F872B7" w:rsidP="00D503A7">
            <w:pPr>
              <w:rPr>
                <w:rFonts w:ascii="Verdana" w:hAnsi="Verdana"/>
                <w:sz w:val="18"/>
                <w:szCs w:val="18"/>
              </w:rPr>
            </w:pPr>
            <w:r w:rsidRPr="00672AD1">
              <w:rPr>
                <w:rFonts w:ascii="Verdana" w:hAnsi="Verdana"/>
                <w:sz w:val="18"/>
                <w:szCs w:val="18"/>
              </w:rPr>
              <w:t>1. Number of students for whom parental consent to evaluate was received July 1, 202</w:t>
            </w:r>
            <w:r w:rsidR="0088605C">
              <w:rPr>
                <w:rFonts w:ascii="Verdana" w:hAnsi="Verdana"/>
                <w:sz w:val="18"/>
                <w:szCs w:val="18"/>
              </w:rPr>
              <w:t>2</w:t>
            </w:r>
            <w:r w:rsidRPr="00672AD1">
              <w:rPr>
                <w:rFonts w:ascii="Verdana" w:hAnsi="Verdana"/>
                <w:sz w:val="18"/>
                <w:szCs w:val="18"/>
              </w:rPr>
              <w:t xml:space="preserve"> to June 30, </w:t>
            </w:r>
            <w:r w:rsidR="0088605C" w:rsidRPr="00672AD1">
              <w:rPr>
                <w:rFonts w:ascii="Verdana" w:hAnsi="Verdana"/>
                <w:sz w:val="18"/>
                <w:szCs w:val="18"/>
              </w:rPr>
              <w:t>202</w:t>
            </w:r>
            <w:r w:rsidR="0088605C">
              <w:rPr>
                <w:rFonts w:ascii="Verdana" w:hAnsi="Verdana"/>
                <w:sz w:val="18"/>
                <w:szCs w:val="18"/>
              </w:rPr>
              <w:t>3</w:t>
            </w:r>
            <w:r w:rsidRPr="00672AD1">
              <w:rPr>
                <w:rFonts w:ascii="Verdana" w:hAnsi="Verdana"/>
                <w:sz w:val="18"/>
                <w:szCs w:val="18"/>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7D6496B" w14:textId="295BCC9A" w:rsidR="00F872B7" w:rsidRPr="00672AD1" w:rsidRDefault="00F872B7" w:rsidP="00D503A7">
            <w:pPr>
              <w:rPr>
                <w:rFonts w:ascii="Verdana" w:hAnsi="Verdana"/>
                <w:sz w:val="18"/>
                <w:szCs w:val="18"/>
              </w:rPr>
            </w:pPr>
            <w:r w:rsidRPr="00672AD1">
              <w:rPr>
                <w:rFonts w:ascii="Verdana" w:hAnsi="Verdana"/>
                <w:sz w:val="18"/>
                <w:szCs w:val="18"/>
              </w:rPr>
              <w:t>CPSE01 and CPSE02 record</w:t>
            </w:r>
            <w:r w:rsidR="006F4996">
              <w:rPr>
                <w:rFonts w:ascii="Verdana" w:hAnsi="Verdana"/>
                <w:sz w:val="18"/>
                <w:szCs w:val="18"/>
              </w:rPr>
              <w:t>s</w:t>
            </w:r>
          </w:p>
        </w:tc>
        <w:tc>
          <w:tcPr>
            <w:tcW w:w="3068"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2CB3EB9" w14:textId="41C4FEFF" w:rsidR="00F872B7" w:rsidRPr="00672AD1" w:rsidRDefault="00F872B7" w:rsidP="00D503A7">
            <w:pPr>
              <w:rPr>
                <w:rFonts w:ascii="Verdana" w:hAnsi="Verdana"/>
                <w:sz w:val="18"/>
                <w:szCs w:val="18"/>
              </w:rPr>
            </w:pPr>
            <w:r w:rsidRPr="00672AD1">
              <w:rPr>
                <w:rFonts w:ascii="Verdana" w:hAnsi="Verdana"/>
                <w:sz w:val="18"/>
                <w:szCs w:val="18"/>
              </w:rPr>
              <w:t>CSE01 and CSE02 record</w:t>
            </w:r>
            <w:r w:rsidR="006F4996">
              <w:rPr>
                <w:rFonts w:ascii="Verdana" w:hAnsi="Verdana"/>
                <w:sz w:val="18"/>
                <w:szCs w:val="18"/>
              </w:rPr>
              <w:t>s</w:t>
            </w:r>
          </w:p>
        </w:tc>
      </w:tr>
      <w:tr w:rsidR="004E5FC2" w:rsidRPr="00672AD1" w14:paraId="2FF47B51"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394E0B20" w14:textId="194338FC" w:rsidR="004E5FC2" w:rsidRPr="00672AD1" w:rsidRDefault="004E5FC2" w:rsidP="00D503A7">
            <w:pPr>
              <w:rPr>
                <w:rFonts w:ascii="Verdana" w:hAnsi="Verdana"/>
                <w:sz w:val="18"/>
                <w:szCs w:val="18"/>
              </w:rPr>
            </w:pPr>
            <w:r>
              <w:rPr>
                <w:rFonts w:ascii="Verdana" w:hAnsi="Verdana"/>
                <w:sz w:val="18"/>
                <w:szCs w:val="18"/>
              </w:rPr>
              <w:t>a) Number of students whose parents refused an evaluation or student transferred</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20DAE0F" w14:textId="241E1070" w:rsidR="004E5FC2" w:rsidRPr="00672AD1" w:rsidDel="0088605C" w:rsidRDefault="004E5FC2" w:rsidP="00D503A7">
            <w:pPr>
              <w:rPr>
                <w:rFonts w:ascii="Verdana" w:hAnsi="Verdana"/>
                <w:sz w:val="18"/>
                <w:szCs w:val="18"/>
              </w:rPr>
            </w:pPr>
            <w:r>
              <w:rPr>
                <w:rFonts w:ascii="Verdana" w:hAnsi="Verdana"/>
                <w:sz w:val="18"/>
                <w:szCs w:val="18"/>
              </w:rPr>
              <w:t xml:space="preserve">CPSER07 </w:t>
            </w:r>
            <w:r w:rsidR="0069162F">
              <w:rPr>
                <w:rFonts w:ascii="Verdana" w:hAnsi="Verdana"/>
                <w:sz w:val="18"/>
                <w:szCs w:val="18"/>
              </w:rPr>
              <w:t>or</w:t>
            </w:r>
            <w:r>
              <w:rPr>
                <w:rFonts w:ascii="Verdana" w:hAnsi="Verdana"/>
                <w:sz w:val="18"/>
                <w:szCs w:val="18"/>
              </w:rPr>
              <w:t xml:space="preserve"> CPSER09 record</w:t>
            </w:r>
            <w:r w:rsidR="006F4996">
              <w:rPr>
                <w:rFonts w:ascii="Verdana" w:hAnsi="Verdana"/>
                <w:sz w:val="18"/>
                <w:szCs w:val="18"/>
              </w:rPr>
              <w:t>s</w:t>
            </w:r>
          </w:p>
        </w:tc>
        <w:tc>
          <w:tcPr>
            <w:tcW w:w="3068"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1DB2A59" w14:textId="30695754" w:rsidR="004E5FC2" w:rsidRPr="00672AD1" w:rsidDel="0088605C" w:rsidRDefault="004E5FC2" w:rsidP="00D503A7">
            <w:pPr>
              <w:rPr>
                <w:rFonts w:ascii="Verdana" w:hAnsi="Verdana"/>
                <w:sz w:val="18"/>
                <w:szCs w:val="18"/>
              </w:rPr>
            </w:pPr>
            <w:r>
              <w:rPr>
                <w:rFonts w:ascii="Verdana" w:hAnsi="Verdana"/>
                <w:sz w:val="18"/>
                <w:szCs w:val="18"/>
              </w:rPr>
              <w:t xml:space="preserve">CSER06 </w:t>
            </w:r>
            <w:r w:rsidR="0069162F">
              <w:rPr>
                <w:rFonts w:ascii="Verdana" w:hAnsi="Verdana"/>
                <w:sz w:val="18"/>
                <w:szCs w:val="18"/>
              </w:rPr>
              <w:t>or</w:t>
            </w:r>
            <w:r>
              <w:rPr>
                <w:rFonts w:ascii="Verdana" w:hAnsi="Verdana"/>
                <w:sz w:val="18"/>
                <w:szCs w:val="18"/>
              </w:rPr>
              <w:t xml:space="preserve"> CSER08 record</w:t>
            </w:r>
            <w:r w:rsidR="006F4996">
              <w:rPr>
                <w:rFonts w:ascii="Verdana" w:hAnsi="Verdana"/>
                <w:sz w:val="18"/>
                <w:szCs w:val="18"/>
              </w:rPr>
              <w:t>s</w:t>
            </w:r>
          </w:p>
        </w:tc>
      </w:tr>
      <w:tr w:rsidR="000F3D51" w:rsidRPr="00672AD1" w14:paraId="1507AAAD" w14:textId="77777777" w:rsidTr="0090090E">
        <w:trPr>
          <w:trHeight w:val="366"/>
        </w:trPr>
        <w:tc>
          <w:tcPr>
            <w:tcW w:w="1886" w:type="dxa"/>
            <w:vMerge w:val="restart"/>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vAlign w:val="center"/>
            <w:hideMark/>
          </w:tcPr>
          <w:p w14:paraId="346B1934" w14:textId="544805A9" w:rsidR="000F3D51" w:rsidRPr="000F2026" w:rsidRDefault="000F3D51" w:rsidP="00D503A7">
            <w:pPr>
              <w:rPr>
                <w:rFonts w:ascii="Verdana" w:hAnsi="Verdana"/>
                <w:sz w:val="18"/>
                <w:szCs w:val="18"/>
              </w:rPr>
            </w:pPr>
            <w:r w:rsidRPr="000F2026">
              <w:rPr>
                <w:rFonts w:ascii="Verdana" w:hAnsi="Verdana"/>
                <w:sz w:val="18"/>
                <w:szCs w:val="18"/>
              </w:rPr>
              <w:t xml:space="preserve">2. Number of students whose evaluations were completed within </w:t>
            </w:r>
            <w:r w:rsidR="00EB5F02">
              <w:rPr>
                <w:rFonts w:ascii="Verdana" w:hAnsi="Verdana"/>
                <w:sz w:val="18"/>
                <w:szCs w:val="18"/>
              </w:rPr>
              <w:t xml:space="preserve">the </w:t>
            </w:r>
            <w:r w:rsidRPr="000F2026">
              <w:rPr>
                <w:rFonts w:ascii="Verdana" w:hAnsi="Verdana"/>
                <w:sz w:val="18"/>
                <w:szCs w:val="18"/>
              </w:rPr>
              <w:t xml:space="preserve">State established </w:t>
            </w:r>
            <w:r>
              <w:rPr>
                <w:rFonts w:ascii="Verdana" w:hAnsi="Verdana"/>
                <w:sz w:val="18"/>
                <w:szCs w:val="18"/>
              </w:rPr>
              <w:t xml:space="preserve">60-day </w:t>
            </w:r>
            <w:r w:rsidRPr="000F2026">
              <w:rPr>
                <w:rFonts w:ascii="Verdana" w:hAnsi="Verdana"/>
                <w:sz w:val="18"/>
                <w:szCs w:val="18"/>
              </w:rPr>
              <w:t>timeline (sum of a and b)</w:t>
            </w:r>
          </w:p>
        </w:tc>
        <w:tc>
          <w:tcPr>
            <w:tcW w:w="2336" w:type="dxa"/>
            <w:tcBorders>
              <w:top w:val="single" w:sz="6" w:space="0" w:color="000000"/>
              <w:left w:val="single" w:sz="6" w:space="0" w:color="000000"/>
              <w:bottom w:val="single" w:sz="4" w:space="0" w:color="auto"/>
              <w:right w:val="single" w:sz="6" w:space="0" w:color="000000"/>
            </w:tcBorders>
            <w:shd w:val="clear" w:color="auto" w:fill="auto"/>
            <w:vAlign w:val="center"/>
          </w:tcPr>
          <w:p w14:paraId="41701694" w14:textId="021F914A" w:rsidR="000F3D51" w:rsidRPr="000F2026" w:rsidRDefault="00CC7DB1" w:rsidP="0090090E">
            <w:pPr>
              <w:ind w:left="75"/>
              <w:rPr>
                <w:rFonts w:ascii="Verdana" w:hAnsi="Verdana"/>
                <w:sz w:val="18"/>
                <w:szCs w:val="18"/>
              </w:rPr>
            </w:pPr>
            <w:r w:rsidRPr="000F2026">
              <w:rPr>
                <w:rFonts w:ascii="Verdana" w:eastAsia="Times New Roman" w:hAnsi="Verdana" w:cs="Times New Roman"/>
                <w:sz w:val="18"/>
                <w:szCs w:val="18"/>
              </w:rPr>
              <w:t>a) CSE meeting held within established timeline</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41F133F" w14:textId="09CEAE28" w:rsidR="000F3D51" w:rsidRPr="00672AD1" w:rsidRDefault="00874B96" w:rsidP="008B7A7B">
            <w:pPr>
              <w:rPr>
                <w:rFonts w:ascii="Verdana" w:hAnsi="Verdana"/>
                <w:sz w:val="18"/>
                <w:szCs w:val="18"/>
              </w:rPr>
            </w:pPr>
            <w:r w:rsidRPr="0088605C">
              <w:rPr>
                <w:rFonts w:ascii="Verdana" w:hAnsi="Verdana"/>
                <w:sz w:val="18"/>
                <w:szCs w:val="18"/>
              </w:rPr>
              <w:t>CPSE01</w:t>
            </w:r>
            <w:r>
              <w:rPr>
                <w:rFonts w:ascii="Verdana" w:hAnsi="Verdana"/>
                <w:sz w:val="18"/>
                <w:szCs w:val="18"/>
              </w:rPr>
              <w:t>,</w:t>
            </w:r>
            <w:r w:rsidRPr="0088605C">
              <w:rPr>
                <w:rFonts w:ascii="Verdana" w:hAnsi="Verdana"/>
                <w:sz w:val="18"/>
                <w:szCs w:val="18"/>
              </w:rPr>
              <w:t xml:space="preserve"> CPSE02</w:t>
            </w:r>
            <w:r>
              <w:rPr>
                <w:rFonts w:ascii="Verdana" w:hAnsi="Verdana"/>
                <w:sz w:val="18"/>
                <w:szCs w:val="18"/>
              </w:rPr>
              <w:t>, and CPSE03</w:t>
            </w:r>
            <w:r w:rsidRPr="0088605C">
              <w:rPr>
                <w:rFonts w:ascii="Verdana" w:hAnsi="Verdana"/>
                <w:sz w:val="18"/>
                <w:szCs w:val="18"/>
              </w:rPr>
              <w:t xml:space="preserve"> record</w:t>
            </w:r>
            <w:r>
              <w:rPr>
                <w:rFonts w:ascii="Verdana" w:hAnsi="Verdana"/>
                <w:sz w:val="18"/>
                <w:szCs w:val="18"/>
              </w:rPr>
              <w:t>s</w:t>
            </w:r>
            <w:r w:rsidRPr="0088605C">
              <w:rPr>
                <w:rFonts w:ascii="Verdana" w:hAnsi="Verdana"/>
                <w:sz w:val="18"/>
                <w:szCs w:val="18"/>
              </w:rPr>
              <w:t xml:space="preserve"> and Number of Days =&lt; 60</w:t>
            </w:r>
          </w:p>
        </w:tc>
        <w:tc>
          <w:tcPr>
            <w:tcW w:w="3068" w:type="dxa"/>
            <w:tcBorders>
              <w:top w:val="single" w:sz="6" w:space="0" w:color="000000"/>
              <w:left w:val="single" w:sz="6" w:space="0" w:color="000000"/>
              <w:bottom w:val="single" w:sz="4" w:space="0" w:color="auto"/>
              <w:right w:val="single" w:sz="6" w:space="0" w:color="000000"/>
            </w:tcBorders>
            <w:shd w:val="clear" w:color="auto" w:fill="FFFFFF"/>
            <w:tcMar>
              <w:top w:w="90" w:type="dxa"/>
              <w:left w:w="90" w:type="dxa"/>
              <w:bottom w:w="90" w:type="dxa"/>
              <w:right w:w="90" w:type="dxa"/>
            </w:tcMar>
            <w:vAlign w:val="center"/>
            <w:hideMark/>
          </w:tcPr>
          <w:p w14:paraId="37320572" w14:textId="0374226A" w:rsidR="000F3D51" w:rsidRPr="00672AD1" w:rsidRDefault="00874B96" w:rsidP="00874B96">
            <w:pPr>
              <w:rPr>
                <w:rFonts w:ascii="Verdana" w:hAnsi="Verdana"/>
                <w:sz w:val="18"/>
                <w:szCs w:val="18"/>
              </w:rPr>
            </w:pPr>
            <w:r w:rsidRPr="0088605C">
              <w:rPr>
                <w:rFonts w:ascii="Verdana" w:hAnsi="Verdana"/>
                <w:sz w:val="18"/>
                <w:szCs w:val="18"/>
              </w:rPr>
              <w:t>CSE01</w:t>
            </w:r>
            <w:r>
              <w:rPr>
                <w:rFonts w:ascii="Verdana" w:hAnsi="Verdana"/>
                <w:sz w:val="18"/>
                <w:szCs w:val="18"/>
              </w:rPr>
              <w:t xml:space="preserve">, CSE02, and CSE03 </w:t>
            </w:r>
            <w:r w:rsidRPr="0088605C">
              <w:rPr>
                <w:rFonts w:ascii="Verdana" w:hAnsi="Verdana"/>
                <w:sz w:val="18"/>
                <w:szCs w:val="18"/>
              </w:rPr>
              <w:t>record</w:t>
            </w:r>
            <w:r>
              <w:rPr>
                <w:rFonts w:ascii="Verdana" w:hAnsi="Verdana"/>
                <w:sz w:val="18"/>
                <w:szCs w:val="18"/>
              </w:rPr>
              <w:t>s</w:t>
            </w:r>
            <w:r w:rsidRPr="0088605C">
              <w:rPr>
                <w:rFonts w:ascii="Verdana" w:hAnsi="Verdana"/>
                <w:sz w:val="18"/>
                <w:szCs w:val="18"/>
              </w:rPr>
              <w:t xml:space="preserve"> and Number of Days =&lt; 60</w:t>
            </w:r>
            <w:r w:rsidDel="00874B96">
              <w:rPr>
                <w:rFonts w:ascii="Verdana" w:hAnsi="Verdana"/>
                <w:sz w:val="18"/>
                <w:szCs w:val="18"/>
              </w:rPr>
              <w:t xml:space="preserve"> </w:t>
            </w:r>
          </w:p>
        </w:tc>
      </w:tr>
      <w:tr w:rsidR="000F3D51" w:rsidRPr="00672AD1" w14:paraId="433C1971" w14:textId="77777777" w:rsidTr="0090090E">
        <w:trPr>
          <w:trHeight w:val="366"/>
        </w:trPr>
        <w:tc>
          <w:tcPr>
            <w:tcW w:w="1886" w:type="dxa"/>
            <w:vMerge/>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14:paraId="5158BF1A" w14:textId="77777777" w:rsidR="000F3D51" w:rsidRPr="000F2026" w:rsidRDefault="000F3D51" w:rsidP="00D503A7">
            <w:pPr>
              <w:rPr>
                <w:rFonts w:ascii="Verdana" w:hAnsi="Verdana"/>
                <w:sz w:val="18"/>
                <w:szCs w:val="18"/>
              </w:rPr>
            </w:pPr>
          </w:p>
        </w:tc>
        <w:tc>
          <w:tcPr>
            <w:tcW w:w="2336" w:type="dxa"/>
            <w:tcBorders>
              <w:top w:val="single" w:sz="4" w:space="0" w:color="auto"/>
              <w:left w:val="single" w:sz="6" w:space="0" w:color="000000"/>
              <w:bottom w:val="single" w:sz="6" w:space="0" w:color="000000"/>
              <w:right w:val="single" w:sz="6" w:space="0" w:color="000000"/>
            </w:tcBorders>
            <w:shd w:val="clear" w:color="auto" w:fill="auto"/>
            <w:vAlign w:val="center"/>
          </w:tcPr>
          <w:p w14:paraId="4153B834" w14:textId="1958F6E1" w:rsidR="000F3D51" w:rsidRPr="000F2026" w:rsidRDefault="00CC7DB1" w:rsidP="0090090E">
            <w:pPr>
              <w:ind w:left="75"/>
              <w:rPr>
                <w:rFonts w:ascii="Verdana" w:hAnsi="Verdana"/>
                <w:sz w:val="18"/>
                <w:szCs w:val="18"/>
              </w:rPr>
            </w:pPr>
            <w:r w:rsidRPr="000F2026">
              <w:rPr>
                <w:rFonts w:ascii="Verdana" w:eastAsia="Times New Roman" w:hAnsi="Verdana" w:cs="Times New Roman"/>
                <w:sz w:val="18"/>
                <w:szCs w:val="18"/>
              </w:rPr>
              <w:t xml:space="preserve">b) CSE meeting not held within established </w:t>
            </w:r>
            <w:r w:rsidR="00DB67F8" w:rsidRPr="000F2026">
              <w:rPr>
                <w:rFonts w:ascii="Verdana" w:eastAsia="Times New Roman" w:hAnsi="Verdana" w:cs="Times New Roman"/>
                <w:sz w:val="18"/>
                <w:szCs w:val="18"/>
              </w:rPr>
              <w:t>timeline,</w:t>
            </w:r>
            <w:r w:rsidRPr="000F2026">
              <w:rPr>
                <w:rFonts w:ascii="Verdana" w:eastAsia="Times New Roman" w:hAnsi="Verdana" w:cs="Times New Roman"/>
                <w:sz w:val="18"/>
                <w:szCs w:val="18"/>
              </w:rPr>
              <w:t xml:space="preserve"> but evaluations completed within established timeline</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3CE8516" w14:textId="1EEEA20E" w:rsidR="000F3D51" w:rsidDel="008B7A7B" w:rsidRDefault="00874B96" w:rsidP="0090090E">
            <w:pPr>
              <w:rPr>
                <w:rFonts w:ascii="Verdana" w:hAnsi="Verdana"/>
                <w:sz w:val="18"/>
                <w:szCs w:val="18"/>
              </w:rPr>
            </w:pPr>
            <w:r w:rsidRPr="0088605C">
              <w:rPr>
                <w:rFonts w:ascii="Verdana" w:hAnsi="Verdana"/>
                <w:sz w:val="18"/>
                <w:szCs w:val="18"/>
              </w:rPr>
              <w:t>CPSE01</w:t>
            </w:r>
            <w:r>
              <w:rPr>
                <w:rFonts w:ascii="Verdana" w:hAnsi="Verdana"/>
                <w:sz w:val="18"/>
                <w:szCs w:val="18"/>
              </w:rPr>
              <w:t xml:space="preserve"> and </w:t>
            </w:r>
            <w:r w:rsidRPr="0088605C">
              <w:rPr>
                <w:rFonts w:ascii="Verdana" w:hAnsi="Verdana"/>
                <w:sz w:val="18"/>
                <w:szCs w:val="18"/>
              </w:rPr>
              <w:t>CPSE02 record</w:t>
            </w:r>
            <w:r>
              <w:rPr>
                <w:rFonts w:ascii="Verdana" w:hAnsi="Verdana"/>
                <w:sz w:val="18"/>
                <w:szCs w:val="18"/>
              </w:rPr>
              <w:t>s, Number of Days &gt; 60, and Reason Code = CPSER11</w:t>
            </w:r>
          </w:p>
        </w:tc>
        <w:tc>
          <w:tcPr>
            <w:tcW w:w="3068" w:type="dxa"/>
            <w:tcBorders>
              <w:top w:val="single" w:sz="4" w:space="0" w:color="auto"/>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4D46539" w14:textId="0B9690DC" w:rsidR="000F3D51" w:rsidRDefault="00874B96" w:rsidP="0090090E">
            <w:pPr>
              <w:rPr>
                <w:rFonts w:ascii="Verdana" w:hAnsi="Verdana"/>
                <w:sz w:val="18"/>
                <w:szCs w:val="18"/>
              </w:rPr>
            </w:pPr>
            <w:r>
              <w:rPr>
                <w:rFonts w:ascii="Verdana" w:hAnsi="Verdana"/>
                <w:sz w:val="18"/>
                <w:szCs w:val="18"/>
              </w:rPr>
              <w:t>CSE01 and CSE02 records, Number of Days &gt; 60, and Reason Code = CSER10</w:t>
            </w:r>
          </w:p>
        </w:tc>
      </w:tr>
      <w:tr w:rsidR="00F872B7" w:rsidRPr="00672AD1" w14:paraId="35B0207F"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22B7487" w14:textId="1C879E2E" w:rsidR="00F872B7" w:rsidRPr="00672AD1" w:rsidRDefault="00F872B7" w:rsidP="00D503A7">
            <w:pPr>
              <w:rPr>
                <w:rFonts w:ascii="Verdana" w:hAnsi="Verdana"/>
                <w:sz w:val="18"/>
                <w:szCs w:val="18"/>
              </w:rPr>
            </w:pPr>
            <w:r w:rsidRPr="00672AD1">
              <w:rPr>
                <w:rFonts w:ascii="Verdana" w:hAnsi="Verdana"/>
                <w:sz w:val="18"/>
                <w:szCs w:val="18"/>
              </w:rPr>
              <w:t xml:space="preserve">3. Number of children whose evaluations were not completed within </w:t>
            </w:r>
            <w:r w:rsidR="00DA07BB">
              <w:rPr>
                <w:rFonts w:ascii="Verdana" w:hAnsi="Verdana"/>
                <w:sz w:val="18"/>
                <w:szCs w:val="18"/>
              </w:rPr>
              <w:t xml:space="preserve">the </w:t>
            </w:r>
            <w:r w:rsidRPr="00672AD1">
              <w:rPr>
                <w:rFonts w:ascii="Verdana" w:hAnsi="Verdana"/>
                <w:sz w:val="18"/>
                <w:szCs w:val="18"/>
              </w:rPr>
              <w:t xml:space="preserve">State established </w:t>
            </w:r>
            <w:r w:rsidR="00497563" w:rsidRPr="00672AD1">
              <w:rPr>
                <w:rFonts w:ascii="Verdana" w:hAnsi="Verdana"/>
                <w:sz w:val="18"/>
                <w:szCs w:val="18"/>
              </w:rPr>
              <w:t>timeline</w:t>
            </w:r>
            <w:r w:rsidR="0088605C">
              <w:rPr>
                <w:rFonts w:ascii="Verdana" w:hAnsi="Verdana"/>
                <w:sz w:val="18"/>
                <w:szCs w:val="18"/>
              </w:rPr>
              <w:t xml:space="preserve"> for</w:t>
            </w:r>
            <w:r w:rsidRPr="00672AD1">
              <w:rPr>
                <w:rFonts w:ascii="Verdana" w:hAnsi="Verdana"/>
                <w:sz w:val="18"/>
                <w:szCs w:val="18"/>
              </w:rPr>
              <w:t xml:space="preserve"> reasons that are in compliance with State requirements.</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8225C66" w14:textId="68BC3102" w:rsidR="00F872B7" w:rsidRPr="00672AD1" w:rsidRDefault="0032312C" w:rsidP="00D503A7">
            <w:pPr>
              <w:rPr>
                <w:rFonts w:ascii="Verdana" w:hAnsi="Verdana"/>
                <w:sz w:val="18"/>
                <w:szCs w:val="18"/>
              </w:rPr>
            </w:pPr>
            <w:r w:rsidRPr="0032312C">
              <w:rPr>
                <w:rFonts w:ascii="Verdana" w:hAnsi="Verdana"/>
                <w:sz w:val="18"/>
                <w:szCs w:val="18"/>
              </w:rPr>
              <w:t>CPSE01 and CPSE02 record</w:t>
            </w:r>
            <w:r w:rsidR="008E105E">
              <w:rPr>
                <w:rFonts w:ascii="Verdana" w:hAnsi="Verdana"/>
                <w:sz w:val="18"/>
                <w:szCs w:val="18"/>
              </w:rPr>
              <w:t>s</w:t>
            </w:r>
            <w:r w:rsidRPr="0032312C">
              <w:rPr>
                <w:rFonts w:ascii="Verdana" w:hAnsi="Verdana"/>
                <w:sz w:val="18"/>
                <w:szCs w:val="18"/>
              </w:rPr>
              <w:t xml:space="preserve">, Number of Days &gt; 60, and Reason Code </w:t>
            </w:r>
            <w:r w:rsidR="008E105E">
              <w:rPr>
                <w:rFonts w:ascii="Verdana" w:hAnsi="Verdana"/>
                <w:sz w:val="18"/>
                <w:szCs w:val="18"/>
              </w:rPr>
              <w:t xml:space="preserve">= </w:t>
            </w:r>
            <w:r w:rsidRPr="0032312C">
              <w:rPr>
                <w:rFonts w:ascii="Verdana" w:hAnsi="Verdana"/>
                <w:sz w:val="18"/>
                <w:szCs w:val="18"/>
              </w:rPr>
              <w:t xml:space="preserve">CPSER01, CPSER02, CPSER03, CPSER05, </w:t>
            </w:r>
            <w:r w:rsidR="008E105E">
              <w:rPr>
                <w:rFonts w:ascii="Verdana" w:hAnsi="Verdana"/>
                <w:sz w:val="18"/>
                <w:szCs w:val="18"/>
              </w:rPr>
              <w:t xml:space="preserve">or </w:t>
            </w:r>
            <w:r w:rsidRPr="0032312C">
              <w:rPr>
                <w:rFonts w:ascii="Verdana" w:hAnsi="Verdana"/>
                <w:sz w:val="18"/>
                <w:szCs w:val="18"/>
              </w:rPr>
              <w:t>CPSER06</w:t>
            </w:r>
            <w:r w:rsidR="008E105E" w:rsidRPr="0032312C" w:rsidDel="008E105E">
              <w:rPr>
                <w:rFonts w:ascii="Verdana" w:hAnsi="Verdana"/>
                <w:sz w:val="18"/>
                <w:szCs w:val="18"/>
              </w:rPr>
              <w:t xml:space="preserve"> </w:t>
            </w:r>
          </w:p>
        </w:tc>
        <w:tc>
          <w:tcPr>
            <w:tcW w:w="3068"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93F8A7A" w14:textId="6830D864" w:rsidR="00F872B7" w:rsidRPr="00672AD1" w:rsidRDefault="0032312C" w:rsidP="00D503A7">
            <w:pPr>
              <w:rPr>
                <w:rFonts w:ascii="Verdana" w:hAnsi="Verdana"/>
                <w:sz w:val="18"/>
                <w:szCs w:val="18"/>
              </w:rPr>
            </w:pPr>
            <w:r w:rsidRPr="0032312C">
              <w:rPr>
                <w:rFonts w:ascii="Verdana" w:hAnsi="Verdana"/>
                <w:sz w:val="18"/>
                <w:szCs w:val="18"/>
              </w:rPr>
              <w:t>CSE01 and CSE02 record</w:t>
            </w:r>
            <w:r w:rsidR="008E105E">
              <w:rPr>
                <w:rFonts w:ascii="Verdana" w:hAnsi="Verdana"/>
                <w:sz w:val="18"/>
                <w:szCs w:val="18"/>
              </w:rPr>
              <w:t>s,</w:t>
            </w:r>
            <w:r w:rsidRPr="0032312C">
              <w:rPr>
                <w:rFonts w:ascii="Verdana" w:hAnsi="Verdana"/>
                <w:sz w:val="18"/>
                <w:szCs w:val="18"/>
              </w:rPr>
              <w:t xml:space="preserve"> Number of Days &gt; 60</w:t>
            </w:r>
            <w:r w:rsidR="008E105E">
              <w:rPr>
                <w:rFonts w:ascii="Verdana" w:hAnsi="Verdana"/>
                <w:sz w:val="18"/>
                <w:szCs w:val="18"/>
              </w:rPr>
              <w:t>,</w:t>
            </w:r>
            <w:r w:rsidRPr="0032312C">
              <w:rPr>
                <w:rFonts w:ascii="Verdana" w:hAnsi="Verdana"/>
                <w:sz w:val="18"/>
                <w:szCs w:val="18"/>
              </w:rPr>
              <w:t xml:space="preserve"> and Reason Code </w:t>
            </w:r>
            <w:r w:rsidR="008E105E">
              <w:rPr>
                <w:rFonts w:ascii="Verdana" w:hAnsi="Verdana"/>
                <w:sz w:val="18"/>
                <w:szCs w:val="18"/>
              </w:rPr>
              <w:t xml:space="preserve">= </w:t>
            </w:r>
            <w:r w:rsidRPr="0032312C">
              <w:rPr>
                <w:rFonts w:ascii="Verdana" w:hAnsi="Verdana"/>
                <w:sz w:val="18"/>
                <w:szCs w:val="18"/>
              </w:rPr>
              <w:t xml:space="preserve">CSER01, CSER02, CSER03, </w:t>
            </w:r>
            <w:r w:rsidR="008B4062">
              <w:rPr>
                <w:rFonts w:ascii="Verdana" w:hAnsi="Verdana"/>
                <w:sz w:val="18"/>
                <w:szCs w:val="18"/>
              </w:rPr>
              <w:t xml:space="preserve">or </w:t>
            </w:r>
            <w:r w:rsidRPr="0032312C">
              <w:rPr>
                <w:rFonts w:ascii="Verdana" w:hAnsi="Verdana"/>
                <w:sz w:val="18"/>
                <w:szCs w:val="18"/>
              </w:rPr>
              <w:t>CSER05</w:t>
            </w:r>
          </w:p>
        </w:tc>
      </w:tr>
      <w:tr w:rsidR="00F872B7" w:rsidRPr="00672AD1" w14:paraId="7F37FF86"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0DB6820" w14:textId="6AE99A7E" w:rsidR="00F872B7" w:rsidRPr="00672AD1" w:rsidRDefault="00F872B7" w:rsidP="00D503A7">
            <w:pPr>
              <w:rPr>
                <w:rFonts w:ascii="Verdana" w:hAnsi="Verdana"/>
                <w:sz w:val="18"/>
                <w:szCs w:val="18"/>
              </w:rPr>
            </w:pPr>
            <w:r w:rsidRPr="00672AD1">
              <w:rPr>
                <w:rFonts w:ascii="Verdana" w:hAnsi="Verdana"/>
                <w:sz w:val="18"/>
                <w:szCs w:val="18"/>
              </w:rPr>
              <w:t xml:space="preserve">4. Number of children whose evaluations were not completed within </w:t>
            </w:r>
            <w:r w:rsidR="00183C3A">
              <w:rPr>
                <w:rFonts w:ascii="Verdana" w:hAnsi="Verdana"/>
                <w:sz w:val="18"/>
                <w:szCs w:val="18"/>
              </w:rPr>
              <w:t xml:space="preserve">the </w:t>
            </w:r>
            <w:r w:rsidRPr="00672AD1">
              <w:rPr>
                <w:rFonts w:ascii="Verdana" w:hAnsi="Verdana"/>
                <w:sz w:val="18"/>
                <w:szCs w:val="18"/>
              </w:rPr>
              <w:t xml:space="preserve">State established </w:t>
            </w:r>
            <w:r w:rsidR="004F454B" w:rsidRPr="00672AD1">
              <w:rPr>
                <w:rFonts w:ascii="Verdana" w:hAnsi="Verdana"/>
                <w:sz w:val="18"/>
                <w:szCs w:val="18"/>
              </w:rPr>
              <w:t>timeline</w:t>
            </w:r>
            <w:r w:rsidR="0032312C">
              <w:rPr>
                <w:rFonts w:ascii="Verdana" w:hAnsi="Verdana"/>
                <w:sz w:val="18"/>
                <w:szCs w:val="18"/>
              </w:rPr>
              <w:t xml:space="preserve"> </w:t>
            </w:r>
            <w:r w:rsidRPr="00672AD1">
              <w:rPr>
                <w:rFonts w:ascii="Verdana" w:hAnsi="Verdana"/>
                <w:sz w:val="18"/>
                <w:szCs w:val="18"/>
              </w:rPr>
              <w:t>for reasons that are NOT in compliance with State requirements.</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36721C" w14:textId="754AF2DB" w:rsidR="00F872B7" w:rsidRPr="00672AD1" w:rsidRDefault="0032312C" w:rsidP="00D503A7">
            <w:pPr>
              <w:rPr>
                <w:rFonts w:ascii="Verdana" w:hAnsi="Verdana"/>
                <w:sz w:val="18"/>
                <w:szCs w:val="18"/>
              </w:rPr>
            </w:pPr>
            <w:r w:rsidRPr="0032312C">
              <w:rPr>
                <w:rFonts w:ascii="Verdana" w:hAnsi="Verdana"/>
                <w:sz w:val="18"/>
                <w:szCs w:val="18"/>
              </w:rPr>
              <w:t>CPSE01 and CPSE02 record</w:t>
            </w:r>
            <w:r w:rsidR="008B4062">
              <w:rPr>
                <w:rFonts w:ascii="Verdana" w:hAnsi="Verdana"/>
                <w:sz w:val="18"/>
                <w:szCs w:val="18"/>
              </w:rPr>
              <w:t xml:space="preserve">s, </w:t>
            </w:r>
            <w:r w:rsidRPr="0032312C">
              <w:rPr>
                <w:rFonts w:ascii="Verdana" w:hAnsi="Verdana"/>
                <w:sz w:val="18"/>
                <w:szCs w:val="18"/>
              </w:rPr>
              <w:t xml:space="preserve">Number of Days &gt; 60, and Reason Code </w:t>
            </w:r>
            <w:r w:rsidR="008E105E">
              <w:rPr>
                <w:rFonts w:ascii="Verdana" w:hAnsi="Verdana"/>
                <w:sz w:val="18"/>
                <w:szCs w:val="18"/>
              </w:rPr>
              <w:t xml:space="preserve">= </w:t>
            </w:r>
            <w:r w:rsidRPr="0032312C">
              <w:rPr>
                <w:rFonts w:ascii="Verdana" w:hAnsi="Verdana"/>
                <w:sz w:val="18"/>
                <w:szCs w:val="18"/>
              </w:rPr>
              <w:t>CPSER04, CPSER08, or CPSER12</w:t>
            </w:r>
          </w:p>
        </w:tc>
        <w:tc>
          <w:tcPr>
            <w:tcW w:w="3068"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FC477E3" w14:textId="57B59DAE" w:rsidR="00F872B7" w:rsidRPr="00672AD1" w:rsidRDefault="0032312C" w:rsidP="00D503A7">
            <w:pPr>
              <w:rPr>
                <w:rFonts w:ascii="Verdana" w:hAnsi="Verdana"/>
                <w:sz w:val="18"/>
                <w:szCs w:val="18"/>
              </w:rPr>
            </w:pPr>
            <w:r w:rsidRPr="0032312C">
              <w:rPr>
                <w:rFonts w:ascii="Verdana" w:hAnsi="Verdana"/>
                <w:sz w:val="18"/>
                <w:szCs w:val="18"/>
              </w:rPr>
              <w:t>CSE01 and CSE02 recor</w:t>
            </w:r>
            <w:r w:rsidR="008B4062">
              <w:rPr>
                <w:rFonts w:ascii="Verdana" w:hAnsi="Verdana"/>
                <w:sz w:val="18"/>
                <w:szCs w:val="18"/>
              </w:rPr>
              <w:t>ds</w:t>
            </w:r>
            <w:r w:rsidRPr="0032312C">
              <w:rPr>
                <w:rFonts w:ascii="Verdana" w:hAnsi="Verdana"/>
                <w:sz w:val="18"/>
                <w:szCs w:val="18"/>
              </w:rPr>
              <w:t xml:space="preserve">, Number of Days &gt; 60, and Reason Code </w:t>
            </w:r>
            <w:r w:rsidR="008E105E">
              <w:rPr>
                <w:rFonts w:ascii="Verdana" w:hAnsi="Verdana"/>
                <w:sz w:val="18"/>
                <w:szCs w:val="18"/>
              </w:rPr>
              <w:t xml:space="preserve">= </w:t>
            </w:r>
            <w:r w:rsidRPr="0032312C">
              <w:rPr>
                <w:rFonts w:ascii="Verdana" w:hAnsi="Verdana"/>
                <w:sz w:val="18"/>
                <w:szCs w:val="18"/>
              </w:rPr>
              <w:t>CSER04, CSER07, or CSER11</w:t>
            </w:r>
          </w:p>
        </w:tc>
      </w:tr>
      <w:tr w:rsidR="00F872B7" w:rsidRPr="00672AD1" w14:paraId="247AC63A" w14:textId="77777777" w:rsidTr="0090090E">
        <w:tc>
          <w:tcPr>
            <w:tcW w:w="4222"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252C37F" w14:textId="4ECA3DAD" w:rsidR="00F872B7" w:rsidRPr="00672AD1" w:rsidRDefault="00F872B7" w:rsidP="00D503A7">
            <w:pPr>
              <w:rPr>
                <w:rFonts w:ascii="Verdana" w:hAnsi="Verdana"/>
                <w:sz w:val="18"/>
                <w:szCs w:val="18"/>
              </w:rPr>
            </w:pPr>
            <w:r w:rsidRPr="00672AD1">
              <w:rPr>
                <w:rFonts w:ascii="Verdana" w:hAnsi="Verdana"/>
                <w:sz w:val="18"/>
                <w:szCs w:val="18"/>
              </w:rPr>
              <w:t xml:space="preserve">5. Compliance Rate [(Line 2 </w:t>
            </w:r>
            <w:r w:rsidR="00401204">
              <w:rPr>
                <w:rFonts w:ascii="Verdana" w:hAnsi="Verdana"/>
                <w:sz w:val="18"/>
                <w:szCs w:val="18"/>
              </w:rPr>
              <w:t>+</w:t>
            </w:r>
            <w:r w:rsidR="00401204" w:rsidRPr="00672AD1">
              <w:rPr>
                <w:rFonts w:ascii="Verdana" w:hAnsi="Verdana"/>
                <w:sz w:val="18"/>
                <w:szCs w:val="18"/>
              </w:rPr>
              <w:t xml:space="preserve"> </w:t>
            </w:r>
            <w:r w:rsidRPr="00672AD1">
              <w:rPr>
                <w:rFonts w:ascii="Verdana" w:hAnsi="Verdana"/>
                <w:sz w:val="18"/>
                <w:szCs w:val="18"/>
              </w:rPr>
              <w:t xml:space="preserve">Line 3) </w:t>
            </w:r>
            <w:r w:rsidR="00401204">
              <w:rPr>
                <w:rFonts w:ascii="Verdana" w:hAnsi="Verdana"/>
                <w:sz w:val="18"/>
                <w:szCs w:val="18"/>
              </w:rPr>
              <w:t>/</w:t>
            </w:r>
            <w:r w:rsidR="00401204" w:rsidRPr="00672AD1">
              <w:rPr>
                <w:rFonts w:ascii="Verdana" w:hAnsi="Verdana"/>
                <w:sz w:val="18"/>
                <w:szCs w:val="18"/>
              </w:rPr>
              <w:t xml:space="preserve"> </w:t>
            </w:r>
            <w:r w:rsidRPr="00672AD1">
              <w:rPr>
                <w:rFonts w:ascii="Verdana" w:hAnsi="Verdana"/>
                <w:sz w:val="18"/>
                <w:szCs w:val="18"/>
              </w:rPr>
              <w:t xml:space="preserve">by </w:t>
            </w:r>
            <w:r w:rsidR="00401204">
              <w:rPr>
                <w:rFonts w:ascii="Verdana" w:hAnsi="Verdana"/>
                <w:sz w:val="18"/>
                <w:szCs w:val="18"/>
              </w:rPr>
              <w:t>(</w:t>
            </w:r>
            <w:r w:rsidRPr="00672AD1">
              <w:rPr>
                <w:rFonts w:ascii="Verdana" w:hAnsi="Verdana"/>
                <w:sz w:val="18"/>
                <w:szCs w:val="18"/>
              </w:rPr>
              <w:t>Line 1</w:t>
            </w:r>
            <w:r w:rsidR="00401204">
              <w:rPr>
                <w:rFonts w:ascii="Verdana" w:hAnsi="Verdana"/>
                <w:sz w:val="18"/>
                <w:szCs w:val="18"/>
              </w:rPr>
              <w:t xml:space="preserve"> – Line 1a</w:t>
            </w:r>
            <w:r w:rsidRPr="00672AD1">
              <w:rPr>
                <w:rFonts w:ascii="Verdana" w:hAnsi="Verdana"/>
                <w:sz w:val="18"/>
                <w:szCs w:val="18"/>
              </w:rPr>
              <w:t>] 100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C22B6E0" w14:textId="77777777" w:rsidR="00F872B7" w:rsidRPr="00672AD1" w:rsidRDefault="00F872B7" w:rsidP="00D503A7">
            <w:pPr>
              <w:rPr>
                <w:rFonts w:ascii="Verdana" w:hAnsi="Verdana"/>
                <w:sz w:val="18"/>
                <w:szCs w:val="18"/>
              </w:rPr>
            </w:pPr>
            <w:r w:rsidRPr="00672AD1">
              <w:rPr>
                <w:rFonts w:ascii="Verdana" w:hAnsi="Verdana"/>
                <w:sz w:val="18"/>
                <w:szCs w:val="18"/>
              </w:rPr>
              <w:t> </w:t>
            </w:r>
          </w:p>
        </w:tc>
        <w:tc>
          <w:tcPr>
            <w:tcW w:w="3068"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CEA41D" w14:textId="77777777" w:rsidR="00F872B7" w:rsidRPr="00672AD1" w:rsidRDefault="00F872B7" w:rsidP="00D503A7">
            <w:pPr>
              <w:rPr>
                <w:rFonts w:ascii="Verdana" w:hAnsi="Verdana"/>
                <w:sz w:val="18"/>
                <w:szCs w:val="18"/>
              </w:rPr>
            </w:pPr>
            <w:r w:rsidRPr="00672AD1">
              <w:rPr>
                <w:rFonts w:ascii="Verdana" w:hAnsi="Verdana"/>
                <w:sz w:val="18"/>
                <w:szCs w:val="18"/>
              </w:rPr>
              <w:t> </w:t>
            </w:r>
          </w:p>
        </w:tc>
      </w:tr>
    </w:tbl>
    <w:p w14:paraId="0136CBEB" w14:textId="7575405A" w:rsidR="00F872B7" w:rsidRPr="0090090E" w:rsidRDefault="00F872B7" w:rsidP="00086EBF"/>
    <w:p w14:paraId="2E32BC26" w14:textId="6B68D698" w:rsidR="00F872B7" w:rsidRPr="00086EBF" w:rsidRDefault="00F872B7" w:rsidP="00086EBF">
      <w:pPr>
        <w:rPr>
          <w:rFonts w:ascii="Verdana" w:hAnsi="Verdana"/>
          <w:sz w:val="18"/>
          <w:szCs w:val="18"/>
        </w:rPr>
      </w:pPr>
    </w:p>
    <w:p w14:paraId="5F90A254" w14:textId="77777777" w:rsidR="0090090E" w:rsidRDefault="0090090E" w:rsidP="0090090E">
      <w:pPr>
        <w:rPr>
          <w:rFonts w:ascii="Verdana" w:hAnsi="Verdana"/>
          <w:sz w:val="18"/>
          <w:szCs w:val="18"/>
        </w:rPr>
      </w:pPr>
    </w:p>
    <w:p w14:paraId="44A221AD" w14:textId="250C2FC0" w:rsidR="00086EBF" w:rsidRPr="0090090E" w:rsidRDefault="00086EBF" w:rsidP="0090090E">
      <w:pPr>
        <w:rPr>
          <w:rFonts w:ascii="Verdana" w:hAnsi="Verdana"/>
          <w:sz w:val="18"/>
          <w:szCs w:val="18"/>
        </w:rPr>
      </w:pPr>
      <w:r w:rsidRPr="0090090E">
        <w:rPr>
          <w:rFonts w:ascii="Verdana" w:hAnsi="Verdana"/>
          <w:sz w:val="18"/>
          <w:szCs w:val="18"/>
        </w:rPr>
        <w:t>Reasons for Exceeding the Timeline Provided by the School District*</w:t>
      </w:r>
    </w:p>
    <w:tbl>
      <w:tblPr>
        <w:tblW w:w="10252"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3862"/>
        <w:gridCol w:w="3150"/>
        <w:gridCol w:w="3240"/>
      </w:tblGrid>
      <w:tr w:rsidR="00400C7E" w:rsidRPr="00400C7E" w14:paraId="03EBBD1F" w14:textId="77777777" w:rsidTr="0090090E">
        <w:tc>
          <w:tcPr>
            <w:tcW w:w="3862" w:type="dxa"/>
            <w:tcBorders>
              <w:top w:val="single" w:sz="6" w:space="0" w:color="8C8273"/>
              <w:left w:val="single" w:sz="6" w:space="0" w:color="8C8273"/>
              <w:bottom w:val="single" w:sz="6" w:space="0" w:color="8C8273"/>
              <w:right w:val="single" w:sz="6" w:space="0" w:color="8C8273"/>
            </w:tcBorders>
            <w:shd w:val="clear" w:color="auto" w:fill="DBE5F1" w:themeFill="accent1" w:themeFillTint="33"/>
            <w:tcMar>
              <w:top w:w="90" w:type="dxa"/>
              <w:left w:w="90" w:type="dxa"/>
              <w:bottom w:w="90" w:type="dxa"/>
              <w:right w:w="90" w:type="dxa"/>
            </w:tcMar>
            <w:hideMark/>
          </w:tcPr>
          <w:p w14:paraId="1AF2C93C" w14:textId="77777777" w:rsidR="00400C7E" w:rsidRPr="0090090E" w:rsidRDefault="00400C7E" w:rsidP="00086EBF">
            <w:pPr>
              <w:rPr>
                <w:rFonts w:ascii="Verdana" w:hAnsi="Verdana"/>
                <w:b/>
                <w:bCs/>
                <w:sz w:val="18"/>
                <w:szCs w:val="18"/>
              </w:rPr>
            </w:pPr>
            <w:r w:rsidRPr="0090090E">
              <w:rPr>
                <w:rFonts w:ascii="Verdana" w:hAnsi="Verdana"/>
                <w:b/>
                <w:bCs/>
                <w:sz w:val="18"/>
                <w:szCs w:val="18"/>
              </w:rPr>
              <w:t>Reasons in Compliance with State Requirements (for children included in Row 3 of the above table)</w:t>
            </w:r>
          </w:p>
        </w:tc>
        <w:tc>
          <w:tcPr>
            <w:tcW w:w="3150" w:type="dxa"/>
            <w:tcBorders>
              <w:top w:val="single" w:sz="6" w:space="0" w:color="8C8273"/>
              <w:left w:val="single" w:sz="6" w:space="0" w:color="8C8273"/>
              <w:bottom w:val="single" w:sz="6" w:space="0" w:color="8C8273"/>
              <w:right w:val="single" w:sz="6" w:space="0" w:color="8C8273"/>
            </w:tcBorders>
            <w:shd w:val="clear" w:color="auto" w:fill="DBE5F1" w:themeFill="accent1" w:themeFillTint="33"/>
            <w:tcMar>
              <w:top w:w="90" w:type="dxa"/>
              <w:left w:w="90" w:type="dxa"/>
              <w:bottom w:w="90" w:type="dxa"/>
              <w:right w:w="90" w:type="dxa"/>
            </w:tcMar>
            <w:hideMark/>
          </w:tcPr>
          <w:p w14:paraId="6F1EBF09" w14:textId="77777777" w:rsidR="00400C7E" w:rsidRPr="0090090E" w:rsidRDefault="00400C7E" w:rsidP="0090090E">
            <w:pPr>
              <w:jc w:val="center"/>
              <w:rPr>
                <w:rFonts w:ascii="Verdana" w:hAnsi="Verdana"/>
                <w:b/>
                <w:bCs/>
                <w:sz w:val="18"/>
                <w:szCs w:val="18"/>
              </w:rPr>
            </w:pPr>
            <w:r w:rsidRPr="0090090E">
              <w:rPr>
                <w:rFonts w:ascii="Verdana" w:hAnsi="Verdana"/>
                <w:b/>
                <w:bCs/>
                <w:sz w:val="18"/>
                <w:szCs w:val="18"/>
              </w:rPr>
              <w:t>Number of Preschool Children</w:t>
            </w:r>
          </w:p>
        </w:tc>
        <w:tc>
          <w:tcPr>
            <w:tcW w:w="3240" w:type="dxa"/>
            <w:tcBorders>
              <w:top w:val="single" w:sz="6" w:space="0" w:color="8C8273"/>
              <w:left w:val="single" w:sz="6" w:space="0" w:color="8C8273"/>
              <w:bottom w:val="single" w:sz="6" w:space="0" w:color="8C8273"/>
              <w:right w:val="single" w:sz="6" w:space="0" w:color="8C8273"/>
            </w:tcBorders>
            <w:shd w:val="clear" w:color="auto" w:fill="DBE5F1" w:themeFill="accent1" w:themeFillTint="33"/>
            <w:tcMar>
              <w:top w:w="90" w:type="dxa"/>
              <w:left w:w="90" w:type="dxa"/>
              <w:bottom w:w="90" w:type="dxa"/>
              <w:right w:w="90" w:type="dxa"/>
            </w:tcMar>
            <w:hideMark/>
          </w:tcPr>
          <w:p w14:paraId="0993BDF9" w14:textId="5D87EC28" w:rsidR="00400C7E" w:rsidRPr="0090090E" w:rsidRDefault="00400C7E" w:rsidP="0090090E">
            <w:pPr>
              <w:jc w:val="center"/>
              <w:rPr>
                <w:rFonts w:ascii="Verdana" w:hAnsi="Verdana"/>
                <w:b/>
                <w:bCs/>
                <w:sz w:val="18"/>
                <w:szCs w:val="18"/>
              </w:rPr>
            </w:pPr>
            <w:r w:rsidRPr="0090090E">
              <w:rPr>
                <w:rFonts w:ascii="Verdana" w:hAnsi="Verdana"/>
                <w:b/>
                <w:bCs/>
                <w:sz w:val="18"/>
                <w:szCs w:val="18"/>
              </w:rPr>
              <w:t>Number of School-Age Students</w:t>
            </w:r>
          </w:p>
        </w:tc>
      </w:tr>
      <w:tr w:rsidR="00400C7E" w:rsidRPr="00400C7E" w14:paraId="3B665E86" w14:textId="77777777" w:rsidTr="0090090E">
        <w:tc>
          <w:tcPr>
            <w:tcW w:w="3862"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05C30291" w14:textId="77777777" w:rsidR="00400C7E" w:rsidRPr="0090090E" w:rsidRDefault="00400C7E" w:rsidP="00086EBF">
            <w:pPr>
              <w:rPr>
                <w:rFonts w:ascii="Verdana" w:hAnsi="Verdana"/>
                <w:sz w:val="18"/>
                <w:szCs w:val="18"/>
              </w:rPr>
            </w:pPr>
            <w:r w:rsidRPr="0090090E">
              <w:rPr>
                <w:rFonts w:ascii="Verdana" w:hAnsi="Verdana"/>
                <w:sz w:val="18"/>
                <w:szCs w:val="18"/>
              </w:rPr>
              <w:t>CPSER01 or CPSER02 or CPSER03 or CPSER05 or CPSER06 or CPSER07 or CPSER09 or CSER01 or CSER02 or CSER03 or CSER05 or CSER06 or CSER08</w:t>
            </w:r>
          </w:p>
        </w:tc>
        <w:tc>
          <w:tcPr>
            <w:tcW w:w="3150"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25461FE9" w14:textId="77777777" w:rsidR="00400C7E" w:rsidRPr="0090090E" w:rsidRDefault="00400C7E" w:rsidP="00086EBF">
            <w:pPr>
              <w:rPr>
                <w:rFonts w:ascii="Verdana" w:hAnsi="Verdana"/>
                <w:sz w:val="18"/>
                <w:szCs w:val="18"/>
              </w:rPr>
            </w:pPr>
            <w:r w:rsidRPr="0090090E">
              <w:rPr>
                <w:rFonts w:ascii="Verdana" w:hAnsi="Verdana"/>
                <w:sz w:val="18"/>
                <w:szCs w:val="18"/>
              </w:rPr>
              <w:t>Number of preschool children with each Reason Code that is in compliance with State requirements.</w:t>
            </w:r>
          </w:p>
        </w:tc>
        <w:tc>
          <w:tcPr>
            <w:tcW w:w="3240"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0E430012" w14:textId="19EF3293" w:rsidR="00400C7E" w:rsidRPr="0090090E" w:rsidRDefault="00400C7E" w:rsidP="00086EBF">
            <w:pPr>
              <w:rPr>
                <w:rFonts w:ascii="Verdana" w:hAnsi="Verdana"/>
                <w:sz w:val="18"/>
                <w:szCs w:val="18"/>
              </w:rPr>
            </w:pPr>
            <w:r w:rsidRPr="0090090E">
              <w:rPr>
                <w:rFonts w:ascii="Verdana" w:hAnsi="Verdana"/>
                <w:sz w:val="18"/>
                <w:szCs w:val="18"/>
              </w:rPr>
              <w:t>Number of school-age students with each Reason Code that is in compliance with State requirements.</w:t>
            </w:r>
          </w:p>
        </w:tc>
      </w:tr>
      <w:tr w:rsidR="00400C7E" w:rsidRPr="00400C7E" w14:paraId="5DA51310" w14:textId="77777777" w:rsidTr="0090090E">
        <w:tc>
          <w:tcPr>
            <w:tcW w:w="10252" w:type="dxa"/>
            <w:gridSpan w:val="3"/>
            <w:tcBorders>
              <w:top w:val="single" w:sz="6" w:space="0" w:color="8C8273"/>
              <w:left w:val="single" w:sz="6" w:space="0" w:color="8C8273"/>
              <w:bottom w:val="single" w:sz="6" w:space="0" w:color="8C8273"/>
              <w:right w:val="single" w:sz="6" w:space="0" w:color="8C8273"/>
            </w:tcBorders>
            <w:shd w:val="clear" w:color="auto" w:fill="DBE5F1" w:themeFill="accent1" w:themeFillTint="33"/>
          </w:tcPr>
          <w:p w14:paraId="7A5D0566" w14:textId="026BC66F" w:rsidR="00400C7E" w:rsidRPr="0090090E" w:rsidRDefault="00400C7E" w:rsidP="00400C7E">
            <w:pPr>
              <w:rPr>
                <w:rFonts w:ascii="Verdana" w:hAnsi="Verdana"/>
                <w:b/>
                <w:bCs/>
                <w:sz w:val="18"/>
                <w:szCs w:val="18"/>
              </w:rPr>
            </w:pPr>
            <w:r w:rsidRPr="009D2545">
              <w:rPr>
                <w:rFonts w:ascii="Verdana" w:hAnsi="Verdana"/>
                <w:b/>
                <w:bCs/>
                <w:sz w:val="18"/>
                <w:szCs w:val="18"/>
              </w:rPr>
              <w:t>Reasons NOT in Compliance with State Requirements (for children included in Row 4 of the above table)</w:t>
            </w:r>
          </w:p>
        </w:tc>
      </w:tr>
      <w:tr w:rsidR="00400C7E" w:rsidRPr="00400C7E" w14:paraId="21EAD95D" w14:textId="77777777" w:rsidTr="0090090E">
        <w:tc>
          <w:tcPr>
            <w:tcW w:w="3862"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20D93424" w14:textId="77777777" w:rsidR="00400C7E" w:rsidRPr="0090090E" w:rsidRDefault="00400C7E" w:rsidP="00400C7E">
            <w:pPr>
              <w:rPr>
                <w:rFonts w:ascii="Verdana" w:hAnsi="Verdana"/>
                <w:sz w:val="18"/>
                <w:szCs w:val="18"/>
              </w:rPr>
            </w:pPr>
            <w:r w:rsidRPr="0090090E">
              <w:rPr>
                <w:rFonts w:ascii="Verdana" w:hAnsi="Verdana"/>
                <w:sz w:val="18"/>
                <w:szCs w:val="18"/>
              </w:rPr>
              <w:t>CPSER04 or CPSER08 or CSER04 or CSER07 or CPSER12</w:t>
            </w:r>
          </w:p>
        </w:tc>
        <w:tc>
          <w:tcPr>
            <w:tcW w:w="3150"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47B20F10" w14:textId="77777777" w:rsidR="00400C7E" w:rsidRPr="0090090E" w:rsidRDefault="00400C7E" w:rsidP="00400C7E">
            <w:pPr>
              <w:rPr>
                <w:rFonts w:ascii="Verdana" w:hAnsi="Verdana"/>
                <w:sz w:val="18"/>
                <w:szCs w:val="18"/>
              </w:rPr>
            </w:pPr>
            <w:r w:rsidRPr="0090090E">
              <w:rPr>
                <w:rFonts w:ascii="Verdana" w:hAnsi="Verdana"/>
                <w:sz w:val="18"/>
                <w:szCs w:val="18"/>
              </w:rPr>
              <w:t>Number of preschool children with each Reason Code that is not in compliance with State requirements.</w:t>
            </w:r>
          </w:p>
        </w:tc>
        <w:tc>
          <w:tcPr>
            <w:tcW w:w="3240" w:type="dxa"/>
            <w:tcBorders>
              <w:top w:val="single" w:sz="6" w:space="0" w:color="8C8273"/>
              <w:left w:val="single" w:sz="6" w:space="0" w:color="8C8273"/>
              <w:bottom w:val="single" w:sz="6" w:space="0" w:color="8C8273"/>
              <w:right w:val="single" w:sz="6" w:space="0" w:color="8C8273"/>
            </w:tcBorders>
            <w:shd w:val="clear" w:color="auto" w:fill="FFFFFF" w:themeFill="background1"/>
            <w:tcMar>
              <w:top w:w="90" w:type="dxa"/>
              <w:left w:w="90" w:type="dxa"/>
              <w:bottom w:w="90" w:type="dxa"/>
              <w:right w:w="90" w:type="dxa"/>
            </w:tcMar>
            <w:hideMark/>
          </w:tcPr>
          <w:p w14:paraId="14F8A551" w14:textId="49194C3C" w:rsidR="00400C7E" w:rsidRPr="0090090E" w:rsidRDefault="00400C7E" w:rsidP="00400C7E">
            <w:pPr>
              <w:rPr>
                <w:rFonts w:ascii="Verdana" w:hAnsi="Verdana"/>
                <w:sz w:val="18"/>
                <w:szCs w:val="18"/>
              </w:rPr>
            </w:pPr>
            <w:r w:rsidRPr="0090090E">
              <w:rPr>
                <w:rFonts w:ascii="Verdana" w:hAnsi="Verdana"/>
                <w:sz w:val="18"/>
                <w:szCs w:val="18"/>
              </w:rPr>
              <w:t>Number of school-age students with each Reason Code that is not in compliance with State requirements.</w:t>
            </w:r>
          </w:p>
        </w:tc>
      </w:tr>
    </w:tbl>
    <w:p w14:paraId="49A17C75" w14:textId="77777777" w:rsidR="00086EBF" w:rsidRPr="0090090E" w:rsidRDefault="00086EBF" w:rsidP="0090090E">
      <w:pPr>
        <w:rPr>
          <w:rFonts w:ascii="Verdana" w:hAnsi="Verdana"/>
          <w:sz w:val="18"/>
          <w:szCs w:val="18"/>
        </w:rPr>
      </w:pPr>
      <w:r w:rsidRPr="0090090E">
        <w:rPr>
          <w:rFonts w:ascii="Verdana" w:hAnsi="Verdana"/>
          <w:sz w:val="18"/>
          <w:szCs w:val="18"/>
        </w:rPr>
        <w:t>*Only the reasons provided by the school district will be included in this table.</w:t>
      </w:r>
    </w:p>
    <w:p w14:paraId="010EF0BB" w14:textId="7BA850FC" w:rsidR="00F872B7" w:rsidRPr="0090090E" w:rsidRDefault="00F872B7" w:rsidP="0090090E">
      <w:pPr>
        <w:rPr>
          <w:rFonts w:ascii="Verdana" w:hAnsi="Verdana"/>
          <w:sz w:val="18"/>
          <w:szCs w:val="18"/>
        </w:rPr>
      </w:pPr>
    </w:p>
    <w:p w14:paraId="70AD9437" w14:textId="01B58CA0" w:rsidR="00F872B7" w:rsidRPr="0090090E" w:rsidRDefault="00F872B7" w:rsidP="0090090E">
      <w:pPr>
        <w:rPr>
          <w:rFonts w:ascii="Verdana" w:eastAsia="Times New Roman" w:hAnsi="Verdana" w:cs="Times New Roman"/>
          <w:b/>
          <w:bCs/>
          <w:color w:val="000000"/>
          <w:sz w:val="18"/>
          <w:szCs w:val="18"/>
        </w:rPr>
      </w:pPr>
      <w:r w:rsidRPr="00086EBF">
        <w:rPr>
          <w:rFonts w:ascii="Verdana" w:hAnsi="Verdana"/>
          <w:sz w:val="18"/>
          <w:szCs w:val="18"/>
        </w:rPr>
        <w:br w:type="page"/>
      </w:r>
      <w:r w:rsidR="00A22BF1" w:rsidRPr="0090090E">
        <w:rPr>
          <w:rFonts w:ascii="Verdana" w:eastAsia="Times New Roman" w:hAnsi="Verdana" w:cs="Times New Roman"/>
          <w:b/>
          <w:bCs/>
          <w:color w:val="000000"/>
          <w:sz w:val="18"/>
          <w:szCs w:val="18"/>
        </w:rPr>
        <w:lastRenderedPageBreak/>
        <w:t xml:space="preserve">Template of </w:t>
      </w:r>
      <w:r w:rsidRPr="003C6BD5">
        <w:rPr>
          <w:rFonts w:ascii="Verdana" w:eastAsia="Times New Roman" w:hAnsi="Verdana" w:cs="Times New Roman"/>
          <w:b/>
          <w:bCs/>
          <w:color w:val="000000"/>
          <w:sz w:val="18"/>
          <w:szCs w:val="18"/>
        </w:rPr>
        <w:t>Data</w:t>
      </w:r>
      <w:r w:rsidR="003C6BD5" w:rsidRPr="003C6BD5">
        <w:rPr>
          <w:rFonts w:ascii="Verdana" w:eastAsia="Times New Roman" w:hAnsi="Verdana" w:cs="Times New Roman"/>
          <w:b/>
          <w:bCs/>
          <w:color w:val="000000"/>
          <w:sz w:val="18"/>
          <w:szCs w:val="18"/>
        </w:rPr>
        <w:t xml:space="preserve"> Display</w:t>
      </w:r>
      <w:r w:rsidRPr="003C6BD5">
        <w:rPr>
          <w:rFonts w:ascii="Verdana" w:eastAsia="Times New Roman" w:hAnsi="Verdana" w:cs="Times New Roman"/>
          <w:b/>
          <w:bCs/>
          <w:color w:val="000000"/>
          <w:sz w:val="18"/>
          <w:szCs w:val="18"/>
        </w:rPr>
        <w:t xml:space="preserve"> for Indicator #11</w:t>
      </w:r>
    </w:p>
    <w:tbl>
      <w:tblPr>
        <w:tblW w:w="5000" w:type="pct"/>
        <w:tblCellMar>
          <w:top w:w="15" w:type="dxa"/>
          <w:left w:w="15" w:type="dxa"/>
          <w:bottom w:w="15" w:type="dxa"/>
          <w:right w:w="15" w:type="dxa"/>
        </w:tblCellMar>
        <w:tblLook w:val="04A0" w:firstRow="1" w:lastRow="0" w:firstColumn="1" w:lastColumn="0" w:noHBand="0" w:noVBand="1"/>
      </w:tblPr>
      <w:tblGrid>
        <w:gridCol w:w="7182"/>
        <w:gridCol w:w="1171"/>
        <w:gridCol w:w="1081"/>
      </w:tblGrid>
      <w:tr w:rsidR="00F872B7" w:rsidRPr="00672AD1" w14:paraId="3C692DBF" w14:textId="77777777" w:rsidTr="0090090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E1BE2F0" w14:textId="77777777" w:rsidR="00F872B7" w:rsidRPr="00672AD1" w:rsidRDefault="00F872B7" w:rsidP="00D503A7">
            <w:pPr>
              <w:jc w:val="center"/>
              <w:rPr>
                <w:rFonts w:ascii="Verdana" w:eastAsia="Times New Roman" w:hAnsi="Verdana" w:cs="Times New Roman"/>
                <w:b/>
                <w:bCs/>
                <w:sz w:val="18"/>
                <w:szCs w:val="18"/>
              </w:rPr>
            </w:pPr>
            <w:r w:rsidRPr="00672AD1">
              <w:rPr>
                <w:rFonts w:ascii="Verdana" w:eastAsia="Times New Roman" w:hAnsi="Verdana" w:cs="Times New Roman"/>
                <w:b/>
                <w:bCs/>
                <w:sz w:val="18"/>
                <w:szCs w:val="18"/>
              </w:rPr>
              <w:t> </w:t>
            </w:r>
          </w:p>
        </w:tc>
        <w:tc>
          <w:tcPr>
            <w:tcW w:w="621"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1EDDECD4" w14:textId="77777777" w:rsidR="00F872B7" w:rsidRPr="00672AD1" w:rsidRDefault="00F872B7" w:rsidP="00D503A7">
            <w:pPr>
              <w:jc w:val="center"/>
              <w:rPr>
                <w:rFonts w:ascii="Verdana" w:eastAsia="Times New Roman" w:hAnsi="Verdana" w:cs="Times New Roman"/>
                <w:b/>
                <w:bCs/>
                <w:sz w:val="18"/>
                <w:szCs w:val="18"/>
              </w:rPr>
            </w:pPr>
            <w:r w:rsidRPr="00672AD1">
              <w:rPr>
                <w:rFonts w:ascii="Verdana" w:eastAsia="Times New Roman" w:hAnsi="Verdana" w:cs="Times New Roman"/>
                <w:b/>
                <w:bCs/>
                <w:sz w:val="18"/>
                <w:szCs w:val="18"/>
              </w:rPr>
              <w:t>Preschool Children</w:t>
            </w:r>
          </w:p>
        </w:tc>
        <w:tc>
          <w:tcPr>
            <w:tcW w:w="582"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2D33A1C" w14:textId="77777777" w:rsidR="00F872B7" w:rsidRPr="00672AD1" w:rsidRDefault="00F872B7" w:rsidP="00D503A7">
            <w:pPr>
              <w:jc w:val="center"/>
              <w:rPr>
                <w:rFonts w:ascii="Verdana" w:eastAsia="Times New Roman" w:hAnsi="Verdana" w:cs="Times New Roman"/>
                <w:b/>
                <w:bCs/>
                <w:sz w:val="18"/>
                <w:szCs w:val="18"/>
              </w:rPr>
            </w:pPr>
            <w:r w:rsidRPr="00672AD1">
              <w:rPr>
                <w:rFonts w:ascii="Verdana" w:eastAsia="Times New Roman" w:hAnsi="Verdana" w:cs="Times New Roman"/>
                <w:b/>
                <w:bCs/>
                <w:sz w:val="18"/>
                <w:szCs w:val="18"/>
              </w:rPr>
              <w:t>School-Age Students</w:t>
            </w:r>
          </w:p>
        </w:tc>
      </w:tr>
      <w:tr w:rsidR="00F872B7" w:rsidRPr="00672AD1" w14:paraId="3709AFA3"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hideMark/>
          </w:tcPr>
          <w:p w14:paraId="2A0CCF9B" w14:textId="3BFA96E8" w:rsidR="00F872B7" w:rsidRPr="00672AD1" w:rsidRDefault="00F872B7" w:rsidP="00D503A7">
            <w:pPr>
              <w:spacing w:before="150" w:after="100" w:afterAutospacing="1" w:line="252" w:lineRule="atLeast"/>
              <w:rPr>
                <w:rFonts w:ascii="Verdana" w:eastAsia="Times New Roman" w:hAnsi="Verdana" w:cs="Times New Roman"/>
                <w:sz w:val="18"/>
                <w:szCs w:val="18"/>
              </w:rPr>
            </w:pPr>
            <w:r w:rsidRPr="00672AD1">
              <w:rPr>
                <w:rFonts w:ascii="Verdana" w:eastAsia="Times New Roman" w:hAnsi="Verdana" w:cs="Times New Roman"/>
                <w:sz w:val="18"/>
                <w:szCs w:val="18"/>
              </w:rPr>
              <w:t xml:space="preserve">1. Number of students for whom parental consent to evaluate was received (July 1, </w:t>
            </w:r>
            <w:r w:rsidR="0035790D" w:rsidRPr="00672AD1">
              <w:rPr>
                <w:rFonts w:ascii="Verdana" w:eastAsia="Times New Roman" w:hAnsi="Verdana" w:cs="Times New Roman"/>
                <w:sz w:val="18"/>
                <w:szCs w:val="18"/>
              </w:rPr>
              <w:t>202</w:t>
            </w:r>
            <w:r w:rsidR="0035790D">
              <w:rPr>
                <w:rFonts w:ascii="Verdana" w:eastAsia="Times New Roman" w:hAnsi="Verdana" w:cs="Times New Roman"/>
                <w:sz w:val="18"/>
                <w:szCs w:val="18"/>
              </w:rPr>
              <w:t>2</w:t>
            </w:r>
            <w:r w:rsidR="0035790D" w:rsidRPr="00672AD1">
              <w:rPr>
                <w:rFonts w:ascii="Verdana" w:eastAsia="Times New Roman" w:hAnsi="Verdana" w:cs="Times New Roman"/>
                <w:sz w:val="18"/>
                <w:szCs w:val="18"/>
              </w:rPr>
              <w:t xml:space="preserve"> </w:t>
            </w:r>
            <w:r w:rsidRPr="00672AD1">
              <w:rPr>
                <w:rFonts w:ascii="Verdana" w:eastAsia="Times New Roman" w:hAnsi="Verdana" w:cs="Times New Roman"/>
                <w:sz w:val="18"/>
                <w:szCs w:val="18"/>
              </w:rPr>
              <w:t xml:space="preserve">to June 30, </w:t>
            </w:r>
            <w:r w:rsidR="0035790D" w:rsidRPr="00672AD1">
              <w:rPr>
                <w:rFonts w:ascii="Verdana" w:eastAsia="Times New Roman" w:hAnsi="Verdana" w:cs="Times New Roman"/>
                <w:sz w:val="18"/>
                <w:szCs w:val="18"/>
              </w:rPr>
              <w:t>202</w:t>
            </w:r>
            <w:r w:rsidR="0035790D">
              <w:rPr>
                <w:rFonts w:ascii="Verdana" w:eastAsia="Times New Roman" w:hAnsi="Verdana" w:cs="Times New Roman"/>
                <w:sz w:val="18"/>
                <w:szCs w:val="18"/>
              </w:rPr>
              <w:t>3</w:t>
            </w:r>
            <w:r w:rsidRPr="00672AD1">
              <w:rPr>
                <w:rFonts w:ascii="Verdana" w:eastAsia="Times New Roman" w:hAnsi="Verdana" w:cs="Times New Roman"/>
                <w:sz w:val="18"/>
                <w:szCs w:val="18"/>
              </w:rPr>
              <w:t>).</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tcPr>
          <w:p w14:paraId="48853145"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tcPr>
          <w:p w14:paraId="38BFF43E" w14:textId="77777777" w:rsidR="00F872B7" w:rsidRPr="00672AD1" w:rsidRDefault="00F872B7" w:rsidP="00D503A7">
            <w:pPr>
              <w:jc w:val="center"/>
              <w:rPr>
                <w:rFonts w:ascii="Verdana" w:eastAsia="Times New Roman" w:hAnsi="Verdana" w:cs="Times New Roman"/>
                <w:sz w:val="18"/>
                <w:szCs w:val="18"/>
              </w:rPr>
            </w:pPr>
          </w:p>
        </w:tc>
      </w:tr>
      <w:tr w:rsidR="009E46E6" w:rsidRPr="00672AD1" w14:paraId="404AA9C1" w14:textId="77777777" w:rsidTr="0090090E">
        <w:tc>
          <w:tcPr>
            <w:tcW w:w="4241" w:type="pct"/>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588C6126" w14:textId="0E424D4D" w:rsidR="004E5FC2" w:rsidRPr="00672AD1" w:rsidRDefault="004E5FC2" w:rsidP="00D503A7">
            <w:pPr>
              <w:spacing w:before="150" w:after="100" w:afterAutospacing="1" w:line="252" w:lineRule="atLeast"/>
              <w:rPr>
                <w:rFonts w:ascii="Verdana" w:eastAsia="Times New Roman" w:hAnsi="Verdana" w:cs="Times New Roman"/>
                <w:sz w:val="18"/>
                <w:szCs w:val="18"/>
              </w:rPr>
            </w:pPr>
            <w:r>
              <w:rPr>
                <w:rFonts w:ascii="Verdana" w:eastAsia="Times New Roman" w:hAnsi="Verdana" w:cs="Times New Roman"/>
                <w:sz w:val="18"/>
                <w:szCs w:val="18"/>
              </w:rPr>
              <w:t>a) Number of students whose parents refused an evaluation or student transferred</w:t>
            </w:r>
          </w:p>
        </w:tc>
        <w:tc>
          <w:tcPr>
            <w:tcW w:w="412" w:type="pct"/>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C77C86C" w14:textId="77777777" w:rsidR="004E5FC2" w:rsidRPr="00672AD1" w:rsidRDefault="004E5FC2" w:rsidP="00D503A7">
            <w:pPr>
              <w:jc w:val="center"/>
              <w:rPr>
                <w:rFonts w:ascii="Verdana" w:eastAsia="Times New Roman" w:hAnsi="Verdana" w:cs="Times New Roman"/>
                <w:sz w:val="18"/>
                <w:szCs w:val="18"/>
              </w:rPr>
            </w:pPr>
          </w:p>
        </w:tc>
        <w:tc>
          <w:tcPr>
            <w:tcW w:w="347" w:type="pct"/>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3A509400" w14:textId="77777777" w:rsidR="004E5FC2" w:rsidRPr="00672AD1" w:rsidRDefault="004E5FC2" w:rsidP="00D503A7">
            <w:pPr>
              <w:jc w:val="center"/>
              <w:rPr>
                <w:rFonts w:ascii="Verdana" w:eastAsia="Times New Roman" w:hAnsi="Verdana" w:cs="Times New Roman"/>
                <w:sz w:val="18"/>
                <w:szCs w:val="18"/>
              </w:rPr>
            </w:pPr>
          </w:p>
        </w:tc>
      </w:tr>
      <w:tr w:rsidR="00F872B7" w:rsidRPr="00672AD1" w14:paraId="65B8AE01"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hideMark/>
          </w:tcPr>
          <w:p w14:paraId="09A3D423" w14:textId="77CCD1F6" w:rsidR="00F872B7" w:rsidRPr="00672AD1" w:rsidRDefault="00F872B7" w:rsidP="00D503A7">
            <w:pPr>
              <w:spacing w:before="150" w:after="100" w:afterAutospacing="1" w:line="252" w:lineRule="atLeast"/>
              <w:rPr>
                <w:rFonts w:ascii="Verdana" w:eastAsia="Times New Roman" w:hAnsi="Verdana" w:cs="Times New Roman"/>
                <w:sz w:val="18"/>
                <w:szCs w:val="18"/>
              </w:rPr>
            </w:pPr>
            <w:r w:rsidRPr="00672AD1">
              <w:rPr>
                <w:rFonts w:ascii="Verdana" w:eastAsia="Times New Roman" w:hAnsi="Verdana" w:cs="Times New Roman"/>
                <w:sz w:val="18"/>
                <w:szCs w:val="18"/>
              </w:rPr>
              <w:t xml:space="preserve">2. Number of students whose evaluations were completed within </w:t>
            </w:r>
            <w:r w:rsidR="00C739F9">
              <w:rPr>
                <w:rFonts w:ascii="Verdana" w:eastAsia="Times New Roman" w:hAnsi="Verdana" w:cs="Times New Roman"/>
                <w:sz w:val="18"/>
                <w:szCs w:val="18"/>
              </w:rPr>
              <w:t xml:space="preserve">the </w:t>
            </w:r>
            <w:r w:rsidRPr="00672AD1">
              <w:rPr>
                <w:rFonts w:ascii="Verdana" w:eastAsia="Times New Roman" w:hAnsi="Verdana" w:cs="Times New Roman"/>
                <w:sz w:val="18"/>
                <w:szCs w:val="18"/>
              </w:rPr>
              <w:t>State established timeline (sum of a and b below)</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6D0E06F9"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4E2E6A81" w14:textId="77777777" w:rsidR="00F872B7" w:rsidRPr="00672AD1" w:rsidRDefault="00F872B7" w:rsidP="00D503A7">
            <w:pPr>
              <w:jc w:val="center"/>
              <w:rPr>
                <w:rFonts w:ascii="Verdana" w:eastAsia="Times New Roman" w:hAnsi="Verdana" w:cs="Times New Roman"/>
                <w:sz w:val="18"/>
                <w:szCs w:val="18"/>
              </w:rPr>
            </w:pPr>
          </w:p>
        </w:tc>
      </w:tr>
      <w:tr w:rsidR="00F872B7" w:rsidRPr="00672AD1" w14:paraId="5D19943C"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hideMark/>
          </w:tcPr>
          <w:p w14:paraId="78F83FB7" w14:textId="77777777" w:rsidR="00F872B7" w:rsidRPr="00672AD1" w:rsidRDefault="00F872B7" w:rsidP="00D503A7">
            <w:pPr>
              <w:ind w:left="720"/>
              <w:rPr>
                <w:rFonts w:ascii="Verdana" w:eastAsia="Times New Roman" w:hAnsi="Verdana" w:cs="Times New Roman"/>
                <w:sz w:val="18"/>
                <w:szCs w:val="18"/>
              </w:rPr>
            </w:pPr>
            <w:r w:rsidRPr="00672AD1">
              <w:rPr>
                <w:rFonts w:ascii="Verdana" w:eastAsia="Times New Roman" w:hAnsi="Verdana" w:cs="Times New Roman"/>
                <w:sz w:val="18"/>
                <w:szCs w:val="18"/>
              </w:rPr>
              <w:t>a) CSE meeting held within established timeline</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66B14A23"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3A7607E4" w14:textId="77777777" w:rsidR="00F872B7" w:rsidRPr="00672AD1" w:rsidRDefault="00F872B7" w:rsidP="00D503A7">
            <w:pPr>
              <w:jc w:val="center"/>
              <w:rPr>
                <w:rFonts w:ascii="Verdana" w:eastAsia="Times New Roman" w:hAnsi="Verdana" w:cs="Times New Roman"/>
                <w:sz w:val="18"/>
                <w:szCs w:val="18"/>
              </w:rPr>
            </w:pPr>
          </w:p>
        </w:tc>
      </w:tr>
      <w:tr w:rsidR="00F872B7" w:rsidRPr="00672AD1" w14:paraId="5233B7D0"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hideMark/>
          </w:tcPr>
          <w:p w14:paraId="3958BCE8" w14:textId="177C142E" w:rsidR="00F872B7" w:rsidRPr="00672AD1" w:rsidRDefault="00F872B7" w:rsidP="00D503A7">
            <w:pPr>
              <w:ind w:left="720"/>
              <w:rPr>
                <w:rFonts w:ascii="Verdana" w:eastAsia="Times New Roman" w:hAnsi="Verdana" w:cs="Times New Roman"/>
                <w:sz w:val="18"/>
                <w:szCs w:val="18"/>
              </w:rPr>
            </w:pPr>
            <w:r w:rsidRPr="00672AD1">
              <w:rPr>
                <w:rFonts w:ascii="Verdana" w:eastAsia="Times New Roman" w:hAnsi="Verdana" w:cs="Times New Roman"/>
                <w:sz w:val="18"/>
                <w:szCs w:val="18"/>
              </w:rPr>
              <w:t xml:space="preserve">b) CSE meeting not held within established </w:t>
            </w:r>
            <w:r w:rsidR="007E6795" w:rsidRPr="00672AD1">
              <w:rPr>
                <w:rFonts w:ascii="Verdana" w:eastAsia="Times New Roman" w:hAnsi="Verdana" w:cs="Times New Roman"/>
                <w:sz w:val="18"/>
                <w:szCs w:val="18"/>
              </w:rPr>
              <w:t>timeline,</w:t>
            </w:r>
            <w:r w:rsidRPr="00672AD1">
              <w:rPr>
                <w:rFonts w:ascii="Verdana" w:eastAsia="Times New Roman" w:hAnsi="Verdana" w:cs="Times New Roman"/>
                <w:sz w:val="18"/>
                <w:szCs w:val="18"/>
              </w:rPr>
              <w:t xml:space="preserve"> but evaluations completed within established timeline</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1C53D478"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570ABE4F" w14:textId="77777777" w:rsidR="00F872B7" w:rsidRPr="00672AD1" w:rsidRDefault="00F872B7" w:rsidP="00D503A7">
            <w:pPr>
              <w:jc w:val="center"/>
              <w:rPr>
                <w:rFonts w:ascii="Verdana" w:eastAsia="Times New Roman" w:hAnsi="Verdana" w:cs="Times New Roman"/>
                <w:sz w:val="18"/>
                <w:szCs w:val="18"/>
              </w:rPr>
            </w:pPr>
          </w:p>
        </w:tc>
      </w:tr>
      <w:tr w:rsidR="00F872B7" w:rsidRPr="00672AD1" w14:paraId="01EC28A4"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hideMark/>
          </w:tcPr>
          <w:p w14:paraId="251F7B9C" w14:textId="5402ABCD" w:rsidR="00F872B7" w:rsidRPr="00672AD1" w:rsidRDefault="00F872B7" w:rsidP="00D503A7">
            <w:pPr>
              <w:spacing w:before="150" w:after="100" w:afterAutospacing="1" w:line="252" w:lineRule="atLeast"/>
              <w:rPr>
                <w:rFonts w:ascii="Verdana" w:eastAsia="Times New Roman" w:hAnsi="Verdana" w:cs="Times New Roman"/>
                <w:sz w:val="18"/>
                <w:szCs w:val="18"/>
              </w:rPr>
            </w:pPr>
            <w:r w:rsidRPr="00672AD1">
              <w:rPr>
                <w:rFonts w:ascii="Verdana" w:eastAsia="Times New Roman" w:hAnsi="Verdana" w:cs="Times New Roman"/>
                <w:sz w:val="18"/>
                <w:szCs w:val="18"/>
              </w:rPr>
              <w:t xml:space="preserve">3. Number of children whose evaluations were not completed within </w:t>
            </w:r>
            <w:r w:rsidR="004D4E85">
              <w:rPr>
                <w:rFonts w:ascii="Verdana" w:eastAsia="Times New Roman" w:hAnsi="Verdana" w:cs="Times New Roman"/>
                <w:sz w:val="18"/>
                <w:szCs w:val="18"/>
              </w:rPr>
              <w:t xml:space="preserve">the </w:t>
            </w:r>
            <w:r w:rsidRPr="00672AD1">
              <w:rPr>
                <w:rFonts w:ascii="Verdana" w:eastAsia="Times New Roman" w:hAnsi="Verdana" w:cs="Times New Roman"/>
                <w:sz w:val="18"/>
                <w:szCs w:val="18"/>
              </w:rPr>
              <w:t>State established timeline, but for reasons that are considered to be in compliance with State requirements.</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tcPr>
          <w:p w14:paraId="43D5C95E"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tcPr>
          <w:p w14:paraId="7B9AEFBD" w14:textId="77777777" w:rsidR="00F872B7" w:rsidRPr="00672AD1" w:rsidRDefault="00F872B7" w:rsidP="00D503A7">
            <w:pPr>
              <w:jc w:val="center"/>
              <w:rPr>
                <w:rFonts w:ascii="Verdana" w:eastAsia="Times New Roman" w:hAnsi="Verdana" w:cs="Times New Roman"/>
                <w:sz w:val="18"/>
                <w:szCs w:val="18"/>
              </w:rPr>
            </w:pPr>
          </w:p>
        </w:tc>
      </w:tr>
      <w:tr w:rsidR="00F872B7" w:rsidRPr="00672AD1" w14:paraId="102CBC14"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hideMark/>
          </w:tcPr>
          <w:p w14:paraId="5BDFBC2C" w14:textId="78BE8FE4" w:rsidR="00F872B7" w:rsidRPr="00672AD1" w:rsidRDefault="00F872B7" w:rsidP="00D503A7">
            <w:pPr>
              <w:spacing w:before="150" w:after="100" w:afterAutospacing="1" w:line="252" w:lineRule="atLeast"/>
              <w:rPr>
                <w:rFonts w:ascii="Verdana" w:eastAsia="Times New Roman" w:hAnsi="Verdana" w:cs="Times New Roman"/>
                <w:sz w:val="18"/>
                <w:szCs w:val="18"/>
              </w:rPr>
            </w:pPr>
            <w:r w:rsidRPr="00672AD1">
              <w:rPr>
                <w:rFonts w:ascii="Verdana" w:eastAsia="Times New Roman" w:hAnsi="Verdana" w:cs="Times New Roman"/>
                <w:sz w:val="18"/>
                <w:szCs w:val="18"/>
              </w:rPr>
              <w:t xml:space="preserve">4. Number of children whose evaluations were not completed within </w:t>
            </w:r>
            <w:r w:rsidR="004D4E85">
              <w:rPr>
                <w:rFonts w:ascii="Verdana" w:eastAsia="Times New Roman" w:hAnsi="Verdana" w:cs="Times New Roman"/>
                <w:sz w:val="18"/>
                <w:szCs w:val="18"/>
              </w:rPr>
              <w:t xml:space="preserve">the </w:t>
            </w:r>
            <w:r w:rsidRPr="00672AD1">
              <w:rPr>
                <w:rFonts w:ascii="Verdana" w:eastAsia="Times New Roman" w:hAnsi="Verdana" w:cs="Times New Roman"/>
                <w:sz w:val="18"/>
                <w:szCs w:val="18"/>
              </w:rPr>
              <w:t>State established timeline, but for reasons that are considered to be NOT in compliance with State requirements.</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3142BE5A" w14:textId="77777777" w:rsidR="00F872B7" w:rsidRPr="00672AD1" w:rsidRDefault="00F872B7" w:rsidP="00D503A7">
            <w:pPr>
              <w:jc w:val="center"/>
              <w:rPr>
                <w:rFonts w:ascii="Verdana" w:eastAsia="Times New Roman" w:hAnsi="Verdana" w:cs="Times New Roman"/>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F3F0"/>
            <w:tcMar>
              <w:top w:w="90" w:type="dxa"/>
              <w:left w:w="90" w:type="dxa"/>
              <w:bottom w:w="90" w:type="dxa"/>
              <w:right w:w="90" w:type="dxa"/>
            </w:tcMar>
            <w:vAlign w:val="center"/>
          </w:tcPr>
          <w:p w14:paraId="688D4F6B" w14:textId="77777777" w:rsidR="00F872B7" w:rsidRPr="00672AD1" w:rsidRDefault="00F872B7" w:rsidP="00D503A7">
            <w:pPr>
              <w:jc w:val="center"/>
              <w:rPr>
                <w:rFonts w:ascii="Verdana" w:eastAsia="Times New Roman" w:hAnsi="Verdana" w:cs="Times New Roman"/>
                <w:sz w:val="18"/>
                <w:szCs w:val="18"/>
              </w:rPr>
            </w:pPr>
          </w:p>
        </w:tc>
      </w:tr>
      <w:tr w:rsidR="00F872B7" w:rsidRPr="00672AD1" w14:paraId="28657F36" w14:textId="77777777" w:rsidTr="0090090E">
        <w:trPr>
          <w:trHeight w:val="300"/>
        </w:trPr>
        <w:tc>
          <w:tcPr>
            <w:tcW w:w="71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vAlign w:val="center"/>
            <w:hideMark/>
          </w:tcPr>
          <w:p w14:paraId="1F37F694" w14:textId="05CE731B" w:rsidR="00F872B7" w:rsidRPr="00672AD1" w:rsidRDefault="00F872B7" w:rsidP="00D503A7">
            <w:pPr>
              <w:spacing w:before="150" w:after="100" w:afterAutospacing="1" w:line="252" w:lineRule="atLeast"/>
              <w:rPr>
                <w:rFonts w:ascii="Verdana" w:eastAsia="Times New Roman" w:hAnsi="Verdana" w:cs="Times New Roman"/>
                <w:sz w:val="18"/>
                <w:szCs w:val="18"/>
              </w:rPr>
            </w:pPr>
            <w:r w:rsidRPr="00672AD1">
              <w:rPr>
                <w:rFonts w:ascii="Verdana" w:eastAsia="Times New Roman" w:hAnsi="Verdana" w:cs="Times New Roman"/>
                <w:sz w:val="18"/>
                <w:szCs w:val="18"/>
              </w:rPr>
              <w:t xml:space="preserve">5. Compliance Rate [(Line 2 </w:t>
            </w:r>
            <w:r w:rsidR="004E5FC2">
              <w:rPr>
                <w:rFonts w:ascii="Verdana" w:eastAsia="Times New Roman" w:hAnsi="Verdana" w:cs="Times New Roman"/>
                <w:sz w:val="18"/>
                <w:szCs w:val="18"/>
              </w:rPr>
              <w:t>+</w:t>
            </w:r>
            <w:r w:rsidR="004E5FC2" w:rsidRPr="00672AD1">
              <w:rPr>
                <w:rFonts w:ascii="Verdana" w:eastAsia="Times New Roman" w:hAnsi="Verdana" w:cs="Times New Roman"/>
                <w:sz w:val="18"/>
                <w:szCs w:val="18"/>
              </w:rPr>
              <w:t xml:space="preserve"> </w:t>
            </w:r>
            <w:r w:rsidRPr="00672AD1">
              <w:rPr>
                <w:rFonts w:ascii="Verdana" w:eastAsia="Times New Roman" w:hAnsi="Verdana" w:cs="Times New Roman"/>
                <w:sz w:val="18"/>
                <w:szCs w:val="18"/>
              </w:rPr>
              <w:t xml:space="preserve">Line 3) </w:t>
            </w:r>
            <w:r w:rsidR="004E5FC2">
              <w:rPr>
                <w:rFonts w:ascii="Verdana" w:eastAsia="Times New Roman" w:hAnsi="Verdana" w:cs="Times New Roman"/>
                <w:sz w:val="18"/>
                <w:szCs w:val="18"/>
              </w:rPr>
              <w:t>/</w:t>
            </w:r>
            <w:r w:rsidR="004E5FC2" w:rsidRPr="00672AD1">
              <w:rPr>
                <w:rFonts w:ascii="Verdana" w:eastAsia="Times New Roman" w:hAnsi="Verdana" w:cs="Times New Roman"/>
                <w:sz w:val="18"/>
                <w:szCs w:val="18"/>
              </w:rPr>
              <w:t xml:space="preserve"> </w:t>
            </w:r>
            <w:r w:rsidR="004E5FC2">
              <w:rPr>
                <w:rFonts w:ascii="Verdana" w:eastAsia="Times New Roman" w:hAnsi="Verdana" w:cs="Times New Roman"/>
                <w:sz w:val="18"/>
                <w:szCs w:val="18"/>
              </w:rPr>
              <w:t>(Line 1 – Line 1a)]</w:t>
            </w:r>
            <w:r w:rsidRPr="00672AD1">
              <w:rPr>
                <w:rFonts w:ascii="Verdana" w:eastAsia="Times New Roman" w:hAnsi="Verdana" w:cs="Times New Roman"/>
                <w:sz w:val="18"/>
                <w:szCs w:val="18"/>
              </w:rPr>
              <w:t xml:space="preserve"> * 100</w:t>
            </w:r>
          </w:p>
        </w:tc>
        <w:tc>
          <w:tcPr>
            <w:tcW w:w="1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40FB3ECB" w14:textId="77777777" w:rsidR="00F872B7" w:rsidRPr="00672AD1" w:rsidRDefault="00F872B7" w:rsidP="00D503A7">
            <w:pPr>
              <w:jc w:val="center"/>
              <w:rPr>
                <w:rFonts w:ascii="Verdana" w:eastAsia="Times New Roman" w:hAnsi="Verdana" w:cs="Times New Roman"/>
                <w:b/>
                <w:bCs/>
                <w:sz w:val="18"/>
                <w:szCs w:val="18"/>
              </w:rPr>
            </w:pPr>
          </w:p>
        </w:tc>
        <w:tc>
          <w:tcPr>
            <w:tcW w:w="10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vAlign w:val="center"/>
          </w:tcPr>
          <w:p w14:paraId="01A4BFFA" w14:textId="77777777" w:rsidR="00F872B7" w:rsidRPr="00672AD1" w:rsidRDefault="00F872B7" w:rsidP="00D503A7">
            <w:pPr>
              <w:jc w:val="center"/>
              <w:rPr>
                <w:rFonts w:ascii="Verdana" w:eastAsia="Times New Roman" w:hAnsi="Verdana" w:cs="Times New Roman"/>
                <w:b/>
                <w:bCs/>
                <w:sz w:val="18"/>
                <w:szCs w:val="18"/>
              </w:rPr>
            </w:pPr>
          </w:p>
        </w:tc>
      </w:tr>
    </w:tbl>
    <w:p w14:paraId="58CE0698" w14:textId="77777777" w:rsidR="00F872B7" w:rsidRPr="00672AD1" w:rsidRDefault="00F872B7" w:rsidP="00F872B7">
      <w:pPr>
        <w:pStyle w:val="NormalWeb"/>
        <w:jc w:val="center"/>
        <w:rPr>
          <w:rFonts w:ascii="Verdana" w:hAnsi="Verdana"/>
          <w:b/>
          <w:color w:val="000000"/>
          <w:sz w:val="18"/>
          <w:szCs w:val="18"/>
        </w:rPr>
      </w:pPr>
      <w:r w:rsidRPr="00672AD1">
        <w:rPr>
          <w:rFonts w:ascii="Verdana" w:hAnsi="Verdana"/>
          <w:b/>
          <w:color w:val="000000"/>
          <w:sz w:val="18"/>
          <w:szCs w:val="18"/>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320"/>
        <w:gridCol w:w="1337"/>
      </w:tblGrid>
      <w:tr w:rsidR="00F872B7" w:rsidRPr="00672AD1" w14:paraId="7317BE05" w14:textId="77777777" w:rsidTr="00D503A7">
        <w:tc>
          <w:tcPr>
            <w:tcW w:w="3593" w:type="pct"/>
            <w:shd w:val="clear" w:color="auto" w:fill="DBE5F1"/>
            <w:vAlign w:val="center"/>
          </w:tcPr>
          <w:p w14:paraId="72DFE19A" w14:textId="77777777" w:rsidR="00F872B7" w:rsidRPr="00672AD1" w:rsidRDefault="00F872B7" w:rsidP="00D503A7">
            <w:pPr>
              <w:jc w:val="center"/>
              <w:rPr>
                <w:rFonts w:ascii="Verdana" w:hAnsi="Verdana"/>
                <w:b/>
                <w:color w:val="000000"/>
                <w:sz w:val="18"/>
                <w:szCs w:val="18"/>
              </w:rPr>
            </w:pPr>
            <w:r w:rsidRPr="00672AD1">
              <w:rPr>
                <w:rFonts w:ascii="Verdana" w:hAnsi="Verdana"/>
                <w:b/>
                <w:color w:val="000000"/>
                <w:sz w:val="18"/>
                <w:szCs w:val="18"/>
              </w:rPr>
              <w:t>Reasons in Compliance with State Requirements</w:t>
            </w:r>
          </w:p>
        </w:tc>
        <w:tc>
          <w:tcPr>
            <w:tcW w:w="699" w:type="pct"/>
            <w:shd w:val="clear" w:color="auto" w:fill="DBE5F1"/>
            <w:vAlign w:val="center"/>
          </w:tcPr>
          <w:p w14:paraId="11DEB427" w14:textId="77777777" w:rsidR="00F872B7" w:rsidRPr="00672AD1" w:rsidRDefault="00F872B7" w:rsidP="00D503A7">
            <w:pPr>
              <w:jc w:val="center"/>
              <w:rPr>
                <w:rFonts w:ascii="Verdana" w:hAnsi="Verdana"/>
                <w:b/>
                <w:color w:val="000000"/>
                <w:sz w:val="18"/>
                <w:szCs w:val="18"/>
              </w:rPr>
            </w:pPr>
            <w:r w:rsidRPr="00672AD1">
              <w:rPr>
                <w:rFonts w:ascii="Verdana" w:hAnsi="Verdana"/>
                <w:b/>
                <w:color w:val="000000"/>
                <w:sz w:val="18"/>
                <w:szCs w:val="18"/>
              </w:rPr>
              <w:t>Number of Preschool Children</w:t>
            </w:r>
          </w:p>
        </w:tc>
        <w:tc>
          <w:tcPr>
            <w:tcW w:w="708" w:type="pct"/>
            <w:shd w:val="clear" w:color="auto" w:fill="DBE5F1"/>
            <w:vAlign w:val="center"/>
          </w:tcPr>
          <w:p w14:paraId="27B20287" w14:textId="77777777" w:rsidR="00F872B7" w:rsidRPr="00672AD1" w:rsidRDefault="00F872B7" w:rsidP="00D503A7">
            <w:pPr>
              <w:jc w:val="center"/>
              <w:rPr>
                <w:rFonts w:ascii="Verdana" w:hAnsi="Verdana"/>
                <w:b/>
                <w:color w:val="000000"/>
                <w:sz w:val="18"/>
                <w:szCs w:val="18"/>
              </w:rPr>
            </w:pPr>
            <w:r w:rsidRPr="00672AD1">
              <w:rPr>
                <w:rFonts w:ascii="Verdana" w:hAnsi="Verdana"/>
                <w:b/>
                <w:color w:val="000000"/>
                <w:sz w:val="18"/>
                <w:szCs w:val="18"/>
              </w:rPr>
              <w:t>Number of School-Age Students</w:t>
            </w:r>
          </w:p>
        </w:tc>
      </w:tr>
      <w:tr w:rsidR="00F872B7" w:rsidRPr="00672AD1" w14:paraId="432D22F1" w14:textId="77777777" w:rsidTr="00D503A7">
        <w:tc>
          <w:tcPr>
            <w:tcW w:w="3593" w:type="pct"/>
            <w:shd w:val="clear" w:color="auto" w:fill="auto"/>
          </w:tcPr>
          <w:p w14:paraId="70E1C2DE" w14:textId="77777777" w:rsidR="00F872B7" w:rsidRPr="00672AD1" w:rsidRDefault="00F872B7" w:rsidP="00D503A7">
            <w:pPr>
              <w:rPr>
                <w:rFonts w:ascii="Verdana" w:hAnsi="Verdana"/>
                <w:color w:val="000000"/>
                <w:sz w:val="18"/>
                <w:szCs w:val="18"/>
              </w:rPr>
            </w:pPr>
          </w:p>
        </w:tc>
        <w:tc>
          <w:tcPr>
            <w:tcW w:w="699" w:type="pct"/>
            <w:shd w:val="clear" w:color="auto" w:fill="auto"/>
          </w:tcPr>
          <w:p w14:paraId="1FFDC4FF" w14:textId="77777777" w:rsidR="00F872B7" w:rsidRPr="00672AD1" w:rsidRDefault="00F872B7" w:rsidP="00D503A7">
            <w:pPr>
              <w:jc w:val="center"/>
              <w:rPr>
                <w:rFonts w:ascii="Verdana" w:hAnsi="Verdana"/>
                <w:color w:val="000000"/>
                <w:sz w:val="18"/>
                <w:szCs w:val="18"/>
              </w:rPr>
            </w:pPr>
          </w:p>
        </w:tc>
        <w:tc>
          <w:tcPr>
            <w:tcW w:w="708" w:type="pct"/>
            <w:shd w:val="clear" w:color="auto" w:fill="auto"/>
          </w:tcPr>
          <w:p w14:paraId="657B3856" w14:textId="77777777" w:rsidR="00F872B7" w:rsidRPr="00672AD1" w:rsidRDefault="00F872B7" w:rsidP="00D503A7">
            <w:pPr>
              <w:jc w:val="center"/>
              <w:rPr>
                <w:rFonts w:ascii="Verdana" w:hAnsi="Verdana"/>
                <w:color w:val="000000"/>
                <w:sz w:val="18"/>
                <w:szCs w:val="18"/>
              </w:rPr>
            </w:pPr>
            <w:r w:rsidRPr="00672AD1">
              <w:rPr>
                <w:rFonts w:ascii="Verdana" w:hAnsi="Verdana"/>
                <w:color w:val="000000"/>
                <w:sz w:val="18"/>
                <w:szCs w:val="18"/>
              </w:rPr>
              <w:t> </w:t>
            </w:r>
          </w:p>
        </w:tc>
      </w:tr>
      <w:tr w:rsidR="00F872B7" w:rsidRPr="00672AD1" w14:paraId="0AF99B1C" w14:textId="77777777" w:rsidTr="00D503A7">
        <w:tc>
          <w:tcPr>
            <w:tcW w:w="3593" w:type="pct"/>
            <w:shd w:val="clear" w:color="auto" w:fill="auto"/>
          </w:tcPr>
          <w:p w14:paraId="35A26060" w14:textId="77777777" w:rsidR="00F872B7" w:rsidRPr="00672AD1" w:rsidRDefault="00F872B7" w:rsidP="00D503A7">
            <w:pPr>
              <w:rPr>
                <w:rFonts w:ascii="Verdana" w:hAnsi="Verdana"/>
                <w:color w:val="000000"/>
                <w:sz w:val="18"/>
                <w:szCs w:val="18"/>
              </w:rPr>
            </w:pPr>
          </w:p>
        </w:tc>
        <w:tc>
          <w:tcPr>
            <w:tcW w:w="699" w:type="pct"/>
            <w:shd w:val="clear" w:color="auto" w:fill="auto"/>
          </w:tcPr>
          <w:p w14:paraId="31582123" w14:textId="77777777" w:rsidR="00F872B7" w:rsidRPr="00672AD1" w:rsidRDefault="00F872B7" w:rsidP="00D503A7">
            <w:pPr>
              <w:jc w:val="center"/>
              <w:rPr>
                <w:rFonts w:ascii="Verdana" w:hAnsi="Verdana"/>
                <w:color w:val="000000"/>
                <w:sz w:val="18"/>
                <w:szCs w:val="18"/>
              </w:rPr>
            </w:pPr>
          </w:p>
        </w:tc>
        <w:tc>
          <w:tcPr>
            <w:tcW w:w="708" w:type="pct"/>
            <w:shd w:val="clear" w:color="auto" w:fill="auto"/>
          </w:tcPr>
          <w:p w14:paraId="1CFC0286" w14:textId="77777777" w:rsidR="00F872B7" w:rsidRPr="00672AD1" w:rsidRDefault="00F872B7" w:rsidP="00D503A7">
            <w:pPr>
              <w:jc w:val="center"/>
              <w:rPr>
                <w:rFonts w:ascii="Verdana" w:hAnsi="Verdana"/>
                <w:color w:val="000000"/>
                <w:sz w:val="18"/>
                <w:szCs w:val="18"/>
              </w:rPr>
            </w:pPr>
            <w:r w:rsidRPr="00672AD1">
              <w:rPr>
                <w:rFonts w:ascii="Verdana" w:hAnsi="Verdana"/>
                <w:color w:val="000000"/>
                <w:sz w:val="18"/>
                <w:szCs w:val="18"/>
              </w:rPr>
              <w:t> </w:t>
            </w:r>
          </w:p>
        </w:tc>
      </w:tr>
      <w:tr w:rsidR="00F872B7" w:rsidRPr="00672AD1" w14:paraId="6BF859E6" w14:textId="77777777" w:rsidTr="00D503A7">
        <w:tc>
          <w:tcPr>
            <w:tcW w:w="3593" w:type="pct"/>
            <w:shd w:val="clear" w:color="auto" w:fill="DBE5F1"/>
            <w:vAlign w:val="center"/>
          </w:tcPr>
          <w:p w14:paraId="24C03F24" w14:textId="77777777" w:rsidR="00F872B7" w:rsidRPr="00672AD1" w:rsidRDefault="00F872B7" w:rsidP="00D503A7">
            <w:pPr>
              <w:jc w:val="center"/>
              <w:rPr>
                <w:rFonts w:ascii="Verdana" w:hAnsi="Verdana"/>
                <w:b/>
                <w:color w:val="000000"/>
                <w:sz w:val="18"/>
                <w:szCs w:val="18"/>
              </w:rPr>
            </w:pPr>
            <w:r w:rsidRPr="00672AD1">
              <w:rPr>
                <w:rFonts w:ascii="Verdana" w:hAnsi="Verdana"/>
                <w:b/>
                <w:color w:val="000000"/>
                <w:sz w:val="18"/>
                <w:szCs w:val="18"/>
              </w:rPr>
              <w:t>Reasons NOT in Compliance with State Requirements</w:t>
            </w:r>
          </w:p>
        </w:tc>
        <w:tc>
          <w:tcPr>
            <w:tcW w:w="1407" w:type="pct"/>
            <w:gridSpan w:val="2"/>
            <w:shd w:val="clear" w:color="auto" w:fill="DBE5F1"/>
          </w:tcPr>
          <w:p w14:paraId="7E4303DE" w14:textId="77777777" w:rsidR="00F872B7" w:rsidRPr="00672AD1" w:rsidRDefault="00F872B7" w:rsidP="00D503A7">
            <w:pPr>
              <w:jc w:val="center"/>
              <w:rPr>
                <w:rFonts w:ascii="Verdana" w:hAnsi="Verdana"/>
                <w:color w:val="000000"/>
                <w:sz w:val="18"/>
                <w:szCs w:val="18"/>
              </w:rPr>
            </w:pPr>
          </w:p>
        </w:tc>
      </w:tr>
      <w:tr w:rsidR="00F872B7" w:rsidRPr="00672AD1" w14:paraId="5088DC2C" w14:textId="77777777" w:rsidTr="00D503A7">
        <w:tc>
          <w:tcPr>
            <w:tcW w:w="3593" w:type="pct"/>
            <w:shd w:val="clear" w:color="auto" w:fill="auto"/>
          </w:tcPr>
          <w:p w14:paraId="319DCF4E" w14:textId="77777777" w:rsidR="00F872B7" w:rsidRPr="00672AD1" w:rsidRDefault="00F872B7" w:rsidP="00D503A7">
            <w:pPr>
              <w:pStyle w:val="NormalWeb"/>
              <w:jc w:val="center"/>
              <w:rPr>
                <w:rFonts w:ascii="Verdana" w:hAnsi="Verdana"/>
                <w:b/>
                <w:color w:val="000000"/>
                <w:sz w:val="18"/>
                <w:szCs w:val="18"/>
              </w:rPr>
            </w:pPr>
          </w:p>
        </w:tc>
        <w:tc>
          <w:tcPr>
            <w:tcW w:w="699" w:type="pct"/>
            <w:shd w:val="clear" w:color="auto" w:fill="auto"/>
          </w:tcPr>
          <w:p w14:paraId="0E26BBD4" w14:textId="77777777" w:rsidR="00F872B7" w:rsidRPr="00672AD1" w:rsidRDefault="00F872B7" w:rsidP="00D503A7">
            <w:pPr>
              <w:pStyle w:val="NormalWeb"/>
              <w:jc w:val="center"/>
              <w:rPr>
                <w:rFonts w:ascii="Verdana" w:hAnsi="Verdana"/>
                <w:b/>
                <w:color w:val="000000"/>
                <w:sz w:val="18"/>
                <w:szCs w:val="18"/>
              </w:rPr>
            </w:pPr>
          </w:p>
        </w:tc>
        <w:tc>
          <w:tcPr>
            <w:tcW w:w="708" w:type="pct"/>
            <w:shd w:val="clear" w:color="auto" w:fill="auto"/>
          </w:tcPr>
          <w:p w14:paraId="7F007B58" w14:textId="77777777" w:rsidR="00F872B7" w:rsidRPr="00672AD1" w:rsidRDefault="00F872B7" w:rsidP="00D503A7">
            <w:pPr>
              <w:pStyle w:val="NormalWeb"/>
              <w:jc w:val="center"/>
              <w:rPr>
                <w:rFonts w:ascii="Verdana" w:hAnsi="Verdana"/>
                <w:b/>
                <w:color w:val="000000"/>
                <w:sz w:val="18"/>
                <w:szCs w:val="18"/>
              </w:rPr>
            </w:pPr>
          </w:p>
        </w:tc>
      </w:tr>
      <w:tr w:rsidR="00F872B7" w:rsidRPr="00672AD1" w14:paraId="0787DF11" w14:textId="77777777" w:rsidTr="00D503A7">
        <w:tc>
          <w:tcPr>
            <w:tcW w:w="3593" w:type="pct"/>
            <w:shd w:val="clear" w:color="auto" w:fill="auto"/>
          </w:tcPr>
          <w:p w14:paraId="2D7371E8" w14:textId="77777777" w:rsidR="00F872B7" w:rsidRPr="00672AD1" w:rsidRDefault="00F872B7" w:rsidP="00D503A7">
            <w:pPr>
              <w:pStyle w:val="NormalWeb"/>
              <w:jc w:val="center"/>
              <w:rPr>
                <w:rFonts w:ascii="Verdana" w:hAnsi="Verdana"/>
                <w:b/>
                <w:color w:val="000000"/>
                <w:sz w:val="18"/>
                <w:szCs w:val="18"/>
              </w:rPr>
            </w:pPr>
          </w:p>
        </w:tc>
        <w:tc>
          <w:tcPr>
            <w:tcW w:w="699" w:type="pct"/>
            <w:shd w:val="clear" w:color="auto" w:fill="auto"/>
          </w:tcPr>
          <w:p w14:paraId="40E596AA" w14:textId="77777777" w:rsidR="00F872B7" w:rsidRPr="00672AD1" w:rsidRDefault="00F872B7" w:rsidP="00D503A7">
            <w:pPr>
              <w:pStyle w:val="NormalWeb"/>
              <w:jc w:val="center"/>
              <w:rPr>
                <w:rFonts w:ascii="Verdana" w:hAnsi="Verdana"/>
                <w:b/>
                <w:color w:val="000000"/>
                <w:sz w:val="18"/>
                <w:szCs w:val="18"/>
              </w:rPr>
            </w:pPr>
          </w:p>
        </w:tc>
        <w:tc>
          <w:tcPr>
            <w:tcW w:w="708" w:type="pct"/>
            <w:shd w:val="clear" w:color="auto" w:fill="auto"/>
          </w:tcPr>
          <w:p w14:paraId="42D1D93D" w14:textId="77777777" w:rsidR="00F872B7" w:rsidRPr="00672AD1" w:rsidRDefault="00F872B7" w:rsidP="00D503A7">
            <w:pPr>
              <w:pStyle w:val="NormalWeb"/>
              <w:jc w:val="center"/>
              <w:rPr>
                <w:rFonts w:ascii="Verdana" w:hAnsi="Verdana"/>
                <w:b/>
                <w:color w:val="000000"/>
                <w:sz w:val="18"/>
                <w:szCs w:val="18"/>
              </w:rPr>
            </w:pPr>
          </w:p>
        </w:tc>
      </w:tr>
    </w:tbl>
    <w:p w14:paraId="71ECFADB" w14:textId="77777777" w:rsidR="00CA5769" w:rsidRDefault="00CA5769">
      <w:pPr>
        <w:rPr>
          <w:rFonts w:ascii="Verdana" w:hAnsi="Verdana"/>
          <w:color w:val="000000"/>
          <w:sz w:val="18"/>
          <w:szCs w:val="18"/>
        </w:rPr>
      </w:pPr>
    </w:p>
    <w:p w14:paraId="028543DB" w14:textId="282D2E0E" w:rsidR="00F872B7" w:rsidRPr="0090090E" w:rsidRDefault="00F872B7" w:rsidP="0090090E">
      <w:pPr>
        <w:rPr>
          <w:rFonts w:ascii="Verdana" w:hAnsi="Verdana"/>
          <w:color w:val="000000"/>
          <w:sz w:val="18"/>
          <w:szCs w:val="18"/>
        </w:rPr>
      </w:pPr>
      <w:r w:rsidRPr="00672AD1">
        <w:rPr>
          <w:rFonts w:ascii="Verdana" w:hAnsi="Verdana"/>
          <w:color w:val="000000"/>
          <w:sz w:val="18"/>
          <w:szCs w:val="18"/>
        </w:rPr>
        <w:t>Please contact your Special Education Quality Assurance Office (SEQA) (</w:t>
      </w:r>
      <w:hyperlink r:id="rId7" w:history="1">
        <w:r w:rsidR="00CB20C3" w:rsidRPr="0090090E">
          <w:rPr>
            <w:rStyle w:val="Hyperlink"/>
            <w:rFonts w:ascii="Verdana" w:hAnsi="Verdana"/>
            <w:sz w:val="18"/>
            <w:szCs w:val="18"/>
          </w:rPr>
          <w:t>http://www.nysed.gov/special-education/special-education-quality-assurance-regional-offices</w:t>
        </w:r>
      </w:hyperlink>
      <w:r w:rsidRPr="0090090E">
        <w:rPr>
          <w:rFonts w:ascii="Verdana" w:hAnsi="Verdana"/>
          <w:color w:val="000000"/>
          <w:sz w:val="18"/>
          <w:szCs w:val="18"/>
        </w:rPr>
        <w:t>) for</w:t>
      </w:r>
      <w:r>
        <w:rPr>
          <w:rFonts w:ascii="Verdana" w:hAnsi="Verdana"/>
          <w:color w:val="000000"/>
          <w:sz w:val="18"/>
          <w:szCs w:val="18"/>
        </w:rPr>
        <w:t xml:space="preserve"> </w:t>
      </w:r>
      <w:r w:rsidRPr="0090090E">
        <w:rPr>
          <w:rFonts w:ascii="Verdana" w:hAnsi="Verdana"/>
          <w:color w:val="000000"/>
          <w:sz w:val="18"/>
          <w:szCs w:val="18"/>
        </w:rPr>
        <w:t xml:space="preserve">assistance in addressing issues of noncompliance. </w:t>
      </w:r>
    </w:p>
    <w:p w14:paraId="4D88D045" w14:textId="064C9E4A" w:rsidR="00F872B7" w:rsidRPr="00672AD1" w:rsidRDefault="004E5FC2" w:rsidP="00F872B7">
      <w:pPr>
        <w:pStyle w:val="NormalWeb"/>
        <w:rPr>
          <w:rFonts w:ascii="Verdana" w:hAnsi="Verdana"/>
          <w:color w:val="000000"/>
          <w:sz w:val="18"/>
          <w:szCs w:val="18"/>
        </w:rPr>
      </w:pPr>
      <w:r>
        <w:rPr>
          <w:rFonts w:ascii="Verdana" w:hAnsi="Verdana"/>
          <w:color w:val="000000"/>
          <w:sz w:val="18"/>
          <w:szCs w:val="18"/>
          <w:shd w:val="clear" w:color="auto" w:fill="FFFFFF"/>
        </w:rPr>
        <w:t>If you have questions regarding the data and procedures included in this report, please submit your questions to SEDCAR at </w:t>
      </w:r>
      <w:hyperlink r:id="rId8" w:history="1">
        <w:r>
          <w:rPr>
            <w:rStyle w:val="Hyperlink"/>
            <w:rFonts w:ascii="Verdana" w:eastAsiaTheme="majorEastAsia" w:hAnsi="Verdana"/>
            <w:color w:val="008ED3"/>
            <w:sz w:val="18"/>
            <w:szCs w:val="18"/>
            <w:shd w:val="clear" w:color="auto" w:fill="FFFFFF"/>
          </w:rPr>
          <w:t>datasupport@nysed.gov</w:t>
        </w:r>
      </w:hyperlink>
      <w:r w:rsidR="00AA3080" w:rsidRPr="0090090E">
        <w:rPr>
          <w:rFonts w:ascii="Verdana" w:hAnsi="Verdana"/>
          <w:sz w:val="18"/>
          <w:szCs w:val="18"/>
        </w:rPr>
        <w:t xml:space="preserve"> with a subject line of “VR11</w:t>
      </w:r>
      <w:r w:rsidR="00DF4C2A" w:rsidRPr="0090090E">
        <w:rPr>
          <w:rFonts w:ascii="Verdana" w:hAnsi="Verdana"/>
          <w:sz w:val="18"/>
          <w:szCs w:val="18"/>
        </w:rPr>
        <w:t>”</w:t>
      </w:r>
      <w:r w:rsidRPr="00DF4C2A">
        <w:rPr>
          <w:rFonts w:ascii="Verdana" w:hAnsi="Verdana"/>
          <w:color w:val="000000"/>
          <w:sz w:val="18"/>
          <w:szCs w:val="18"/>
          <w:shd w:val="clear" w:color="auto" w:fill="FFFFFF"/>
        </w:rPr>
        <w:t>.</w:t>
      </w:r>
    </w:p>
    <w:p w14:paraId="77441B1B" w14:textId="77777777" w:rsidR="00F872B7" w:rsidRPr="00672AD1" w:rsidRDefault="00F872B7" w:rsidP="00F872B7">
      <w:pPr>
        <w:pStyle w:val="NormalWeb"/>
        <w:rPr>
          <w:rFonts w:ascii="Verdana" w:hAnsi="Verdana"/>
          <w:color w:val="000000"/>
          <w:sz w:val="18"/>
          <w:szCs w:val="18"/>
        </w:rPr>
      </w:pPr>
    </w:p>
    <w:p w14:paraId="511C38A8" w14:textId="684C9178" w:rsidR="00A71756" w:rsidRDefault="00A71756">
      <w:pPr>
        <w:rPr>
          <w:rFonts w:ascii="Verdana" w:hAnsi="Verdana"/>
          <w:b/>
          <w:bCs/>
          <w:color w:val="000000"/>
          <w:sz w:val="18"/>
          <w:szCs w:val="18"/>
        </w:rPr>
      </w:pPr>
      <w:r>
        <w:rPr>
          <w:rFonts w:ascii="Verdana" w:hAnsi="Verdana"/>
          <w:b/>
          <w:bCs/>
          <w:color w:val="000000"/>
          <w:sz w:val="18"/>
          <w:szCs w:val="18"/>
        </w:rPr>
        <w:lastRenderedPageBreak/>
        <w:t xml:space="preserve">Procedures for </w:t>
      </w:r>
      <w:r w:rsidRPr="0090090E">
        <w:rPr>
          <w:rFonts w:ascii="Verdana" w:hAnsi="Verdana"/>
          <w:b/>
          <w:bCs/>
          <w:color w:val="000000"/>
          <w:sz w:val="18"/>
          <w:szCs w:val="18"/>
        </w:rPr>
        <w:t xml:space="preserve">Districts </w:t>
      </w:r>
      <w:r>
        <w:rPr>
          <w:rFonts w:ascii="Verdana" w:hAnsi="Verdana"/>
          <w:b/>
          <w:bCs/>
          <w:color w:val="000000"/>
          <w:sz w:val="18"/>
          <w:szCs w:val="18"/>
        </w:rPr>
        <w:t xml:space="preserve">with Noncompliance </w:t>
      </w:r>
    </w:p>
    <w:p w14:paraId="1116EDB9" w14:textId="35B0BEEB" w:rsidR="00A71756" w:rsidRPr="0090090E" w:rsidRDefault="00940F2D">
      <w:pPr>
        <w:rPr>
          <w:rFonts w:ascii="Verdana" w:hAnsi="Verdana"/>
          <w:sz w:val="18"/>
          <w:szCs w:val="18"/>
        </w:rPr>
      </w:pPr>
      <w:r w:rsidRPr="0090090E">
        <w:rPr>
          <w:rFonts w:ascii="Verdana" w:hAnsi="Verdana"/>
          <w:sz w:val="18"/>
          <w:szCs w:val="18"/>
        </w:rPr>
        <w:t xml:space="preserve">Districts whose VR11 reports show </w:t>
      </w:r>
      <w:r w:rsidRPr="0090090E">
        <w:rPr>
          <w:rFonts w:ascii="Verdana" w:hAnsi="Verdana"/>
          <w:sz w:val="18"/>
          <w:szCs w:val="18"/>
          <w:shd w:val="clear" w:color="auto" w:fill="FFFFFF"/>
        </w:rPr>
        <w:t xml:space="preserve">noncompliance with the requirements of </w:t>
      </w:r>
      <w:r w:rsidR="00045DC4" w:rsidRPr="0090090E">
        <w:rPr>
          <w:rFonts w:ascii="Verdana" w:hAnsi="Verdana"/>
          <w:sz w:val="18"/>
          <w:szCs w:val="18"/>
          <w:shd w:val="clear" w:color="auto" w:fill="FFFFFF"/>
        </w:rPr>
        <w:t xml:space="preserve">SPP </w:t>
      </w:r>
      <w:r w:rsidRPr="0090090E">
        <w:rPr>
          <w:rFonts w:ascii="Verdana" w:hAnsi="Verdana"/>
          <w:sz w:val="18"/>
          <w:szCs w:val="18"/>
          <w:shd w:val="clear" w:color="auto" w:fill="FFFFFF"/>
        </w:rPr>
        <w:t xml:space="preserve">Indicator 11 </w:t>
      </w:r>
      <w:r w:rsidR="00081A97" w:rsidRPr="0090090E">
        <w:rPr>
          <w:rFonts w:ascii="Verdana" w:hAnsi="Verdana"/>
          <w:sz w:val="18"/>
          <w:szCs w:val="18"/>
          <w:shd w:val="clear" w:color="auto" w:fill="FFFFFF"/>
        </w:rPr>
        <w:t xml:space="preserve">will </w:t>
      </w:r>
      <w:r w:rsidRPr="0090090E">
        <w:rPr>
          <w:rFonts w:ascii="Verdana" w:hAnsi="Verdana"/>
          <w:sz w:val="18"/>
          <w:szCs w:val="18"/>
        </w:rPr>
        <w:t xml:space="preserve">need to provide assurance and documentation of correction of </w:t>
      </w:r>
      <w:r w:rsidR="00CC24DA" w:rsidRPr="0090090E">
        <w:rPr>
          <w:rFonts w:ascii="Verdana" w:hAnsi="Verdana"/>
          <w:sz w:val="18"/>
          <w:szCs w:val="18"/>
        </w:rPr>
        <w:t xml:space="preserve">student-specific and </w:t>
      </w:r>
      <w:r w:rsidR="00380FF9" w:rsidRPr="0090090E">
        <w:rPr>
          <w:rFonts w:ascii="Verdana" w:hAnsi="Verdana"/>
          <w:sz w:val="18"/>
          <w:szCs w:val="18"/>
        </w:rPr>
        <w:t xml:space="preserve">systemic </w:t>
      </w:r>
      <w:r w:rsidRPr="0090090E">
        <w:rPr>
          <w:rFonts w:ascii="Verdana" w:hAnsi="Verdana"/>
          <w:sz w:val="18"/>
          <w:szCs w:val="18"/>
        </w:rPr>
        <w:t>noncompliance by following the procedures described below.</w:t>
      </w:r>
    </w:p>
    <w:p w14:paraId="6B848167" w14:textId="77777777" w:rsidR="00A71756" w:rsidRPr="0090090E" w:rsidRDefault="00A71756">
      <w:pPr>
        <w:rPr>
          <w:rFonts w:ascii="Verdana" w:hAnsi="Verdana"/>
          <w:b/>
          <w:bCs/>
          <w:color w:val="000000"/>
          <w:sz w:val="18"/>
          <w:szCs w:val="18"/>
        </w:rPr>
      </w:pPr>
    </w:p>
    <w:p w14:paraId="06C847FD" w14:textId="325DB81F" w:rsidR="00EE74D8" w:rsidRDefault="00F872B7" w:rsidP="0090090E">
      <w:pPr>
        <w:jc w:val="center"/>
        <w:rPr>
          <w:rFonts w:ascii="Verdana" w:hAnsi="Verdana"/>
          <w:b/>
          <w:color w:val="000000"/>
          <w:sz w:val="20"/>
          <w:szCs w:val="20"/>
        </w:rPr>
      </w:pPr>
      <w:r w:rsidRPr="00513554">
        <w:rPr>
          <w:rFonts w:ascii="Verdana" w:hAnsi="Verdana"/>
          <w:b/>
          <w:color w:val="000000"/>
          <w:sz w:val="20"/>
          <w:szCs w:val="20"/>
        </w:rPr>
        <w:t>District Assurance of Correction of Noncompliance</w:t>
      </w:r>
    </w:p>
    <w:p w14:paraId="0B972B05" w14:textId="0DE15B8E" w:rsidR="00F872B7" w:rsidRPr="00314B57" w:rsidRDefault="00513554" w:rsidP="0090090E">
      <w:pPr>
        <w:jc w:val="center"/>
        <w:rPr>
          <w:rFonts w:ascii="Verdana" w:hAnsi="Verdana"/>
          <w:b/>
          <w:color w:val="000000"/>
          <w:sz w:val="20"/>
          <w:szCs w:val="20"/>
        </w:rPr>
      </w:pPr>
      <w:r w:rsidRPr="00513554">
        <w:rPr>
          <w:rFonts w:ascii="Verdana" w:hAnsi="Verdana"/>
          <w:b/>
          <w:bCs/>
          <w:sz w:val="20"/>
          <w:szCs w:val="20"/>
        </w:rPr>
        <w:t xml:space="preserve">Indicator #11 - Percent of Children Evaluated Within </w:t>
      </w:r>
      <w:r w:rsidR="006811B4">
        <w:rPr>
          <w:rFonts w:ascii="Verdana" w:hAnsi="Verdana"/>
          <w:b/>
          <w:bCs/>
          <w:sz w:val="20"/>
          <w:szCs w:val="20"/>
        </w:rPr>
        <w:t xml:space="preserve">the </w:t>
      </w:r>
      <w:r w:rsidRPr="00513554">
        <w:rPr>
          <w:rFonts w:ascii="Verdana" w:hAnsi="Verdana"/>
          <w:b/>
          <w:bCs/>
          <w:sz w:val="20"/>
          <w:szCs w:val="20"/>
        </w:rPr>
        <w:t>State Established Timeline</w:t>
      </w:r>
    </w:p>
    <w:p w14:paraId="415A16F0" w14:textId="77777777" w:rsidR="00F872B7" w:rsidRPr="00672AD1" w:rsidRDefault="00F872B7" w:rsidP="00F872B7">
      <w:pPr>
        <w:pStyle w:val="NormalWeb"/>
        <w:rPr>
          <w:rFonts w:ascii="Verdana" w:hAnsi="Verdana"/>
          <w:b/>
          <w:color w:val="000000"/>
          <w:sz w:val="18"/>
          <w:szCs w:val="18"/>
        </w:rPr>
      </w:pPr>
      <w:r w:rsidRPr="00672AD1">
        <w:rPr>
          <w:rFonts w:ascii="Verdana" w:hAnsi="Verdana"/>
          <w:b/>
          <w:color w:val="000000"/>
          <w:sz w:val="18"/>
          <w:szCs w:val="18"/>
        </w:rPr>
        <w:t>Part 1: Documentation of Correction of Noncompliance for Individual Students:</w:t>
      </w:r>
    </w:p>
    <w:p w14:paraId="20E0A97C" w14:textId="2A67D99E" w:rsidR="00EE74D8" w:rsidRPr="00EE74D8" w:rsidRDefault="00EE74D8" w:rsidP="00EE74D8">
      <w:pPr>
        <w:numPr>
          <w:ilvl w:val="0"/>
          <w:numId w:val="6"/>
        </w:numPr>
        <w:shd w:val="clear" w:color="auto" w:fill="FFFFFF"/>
        <w:spacing w:before="100" w:beforeAutospacing="1" w:after="100" w:afterAutospacing="1" w:line="252" w:lineRule="atLeast"/>
        <w:rPr>
          <w:rFonts w:ascii="Verdana" w:eastAsia="Times New Roman" w:hAnsi="Verdana" w:cs="Times New Roman"/>
          <w:color w:val="000000"/>
          <w:sz w:val="18"/>
          <w:szCs w:val="18"/>
        </w:rPr>
      </w:pPr>
      <w:r w:rsidRPr="00EE74D8">
        <w:rPr>
          <w:rFonts w:ascii="Verdana" w:eastAsia="Times New Roman" w:hAnsi="Verdana" w:cs="Times New Roman"/>
          <w:color w:val="000000"/>
          <w:sz w:val="18"/>
          <w:szCs w:val="18"/>
        </w:rPr>
        <w:t xml:space="preserve">The students listed in the </w:t>
      </w:r>
      <w:r w:rsidR="00355466">
        <w:rPr>
          <w:rFonts w:ascii="Verdana" w:eastAsia="Times New Roman" w:hAnsi="Verdana" w:cs="Times New Roman"/>
          <w:color w:val="000000"/>
          <w:sz w:val="18"/>
          <w:szCs w:val="18"/>
        </w:rPr>
        <w:t>VR11</w:t>
      </w:r>
      <w:r w:rsidR="00355466">
        <w:rPr>
          <w:rFonts w:ascii="Verdana" w:eastAsia="Times New Roman" w:hAnsi="Verdana" w:cs="Times New Roman"/>
          <w:color w:val="000000"/>
          <w:sz w:val="18"/>
          <w:szCs w:val="18"/>
        </w:rPr>
        <w:tab/>
        <w:t>Part 1 Assurance C</w:t>
      </w:r>
      <w:r w:rsidRPr="00EE74D8">
        <w:rPr>
          <w:rFonts w:ascii="Verdana" w:eastAsia="Times New Roman" w:hAnsi="Verdana" w:cs="Times New Roman"/>
          <w:color w:val="000000"/>
          <w:sz w:val="18"/>
          <w:szCs w:val="18"/>
        </w:rPr>
        <w:t>hart were reported to NYSED as NOT evaluated within the State's established timeline and, for each student, the reason for the delay that was reported was NOT in compliance with State requirements. The district is required to review the chart and identify any students who are missing a </w:t>
      </w:r>
      <w:r w:rsidRPr="00EE74D8">
        <w:rPr>
          <w:rFonts w:ascii="Verdana" w:eastAsia="Times New Roman" w:hAnsi="Verdana" w:cs="Times New Roman"/>
          <w:b/>
          <w:bCs/>
          <w:color w:val="000000"/>
          <w:sz w:val="18"/>
          <w:szCs w:val="18"/>
        </w:rPr>
        <w:t>Date of Meeting to Discuss Completed Evaluation</w:t>
      </w:r>
      <w:r w:rsidRPr="00EE74D8">
        <w:rPr>
          <w:rFonts w:ascii="Verdana" w:eastAsia="Times New Roman" w:hAnsi="Verdana" w:cs="Times New Roman"/>
          <w:color w:val="000000"/>
          <w:sz w:val="18"/>
          <w:szCs w:val="18"/>
        </w:rPr>
        <w:t xml:space="preserve">. </w:t>
      </w:r>
      <w:r w:rsidR="00041A88">
        <w:rPr>
          <w:rFonts w:ascii="Verdana" w:eastAsia="Times New Roman" w:hAnsi="Verdana" w:cs="Times New Roman"/>
          <w:color w:val="000000"/>
          <w:sz w:val="18"/>
          <w:szCs w:val="18"/>
        </w:rPr>
        <w:t xml:space="preserve">This is represented in the Part 1 Assurance Chart with the text ‘Not Reported’. </w:t>
      </w:r>
      <w:r w:rsidRPr="00EE74D8">
        <w:rPr>
          <w:rFonts w:ascii="Verdana" w:eastAsia="Times New Roman" w:hAnsi="Verdana" w:cs="Times New Roman"/>
          <w:color w:val="000000"/>
          <w:sz w:val="18"/>
          <w:szCs w:val="18"/>
        </w:rPr>
        <w:t>For students who are missing a </w:t>
      </w:r>
      <w:r w:rsidRPr="00EE74D8">
        <w:rPr>
          <w:rFonts w:ascii="Verdana" w:eastAsia="Times New Roman" w:hAnsi="Verdana" w:cs="Times New Roman"/>
          <w:b/>
          <w:bCs/>
          <w:color w:val="000000"/>
          <w:sz w:val="18"/>
          <w:szCs w:val="18"/>
        </w:rPr>
        <w:t>Date of Meeting to Discuss Completed Evaluation</w:t>
      </w:r>
      <w:r w:rsidRPr="00EE74D8">
        <w:rPr>
          <w:rFonts w:ascii="Verdana" w:eastAsia="Times New Roman" w:hAnsi="Verdana" w:cs="Times New Roman"/>
          <w:color w:val="000000"/>
          <w:sz w:val="18"/>
          <w:szCs w:val="18"/>
        </w:rPr>
        <w:t>, if the meeting to discuss the completed evaluation occurred, the school district must report the meeting date using the L0 Historical data reporting process. The school district's data coordinator is familiar with this process and should be consulted and involved.</w:t>
      </w:r>
    </w:p>
    <w:p w14:paraId="32D13BE3" w14:textId="3C80A83C" w:rsidR="003774A0" w:rsidRPr="0090090E" w:rsidRDefault="003774A0" w:rsidP="00EE74D8">
      <w:pPr>
        <w:numPr>
          <w:ilvl w:val="0"/>
          <w:numId w:val="6"/>
        </w:numPr>
        <w:shd w:val="clear" w:color="auto" w:fill="FFFFFF"/>
        <w:spacing w:before="100" w:beforeAutospacing="1" w:after="100" w:afterAutospacing="1" w:line="252" w:lineRule="atLeast"/>
        <w:rPr>
          <w:rFonts w:ascii="Verdana" w:eastAsia="Times New Roman" w:hAnsi="Verdana" w:cs="Times New Roman"/>
          <w:b/>
          <w:bCs/>
          <w:color w:val="000000"/>
          <w:sz w:val="18"/>
          <w:szCs w:val="18"/>
        </w:rPr>
      </w:pPr>
      <w:r w:rsidRPr="0090090E">
        <w:rPr>
          <w:rFonts w:ascii="Verdana" w:eastAsia="Times New Roman" w:hAnsi="Verdana" w:cs="Times New Roman"/>
          <w:b/>
          <w:bCs/>
          <w:color w:val="000000"/>
          <w:sz w:val="18"/>
          <w:szCs w:val="18"/>
        </w:rPr>
        <w:t xml:space="preserve">NOTE: The PD data system WILL NOT update to show any dates submitted through the L0 Historical process. </w:t>
      </w:r>
      <w:r w:rsidR="004A7553">
        <w:rPr>
          <w:rFonts w:ascii="Verdana" w:eastAsia="Times New Roman" w:hAnsi="Verdana" w:cs="Times New Roman"/>
          <w:b/>
          <w:bCs/>
          <w:color w:val="000000"/>
          <w:sz w:val="18"/>
          <w:szCs w:val="18"/>
        </w:rPr>
        <w:t>‘</w:t>
      </w:r>
      <w:r w:rsidRPr="0090090E">
        <w:rPr>
          <w:rFonts w:ascii="Verdana" w:eastAsia="Times New Roman" w:hAnsi="Verdana" w:cs="Times New Roman"/>
          <w:b/>
          <w:bCs/>
          <w:color w:val="000000"/>
          <w:sz w:val="18"/>
          <w:szCs w:val="18"/>
        </w:rPr>
        <w:t>Not Reported</w:t>
      </w:r>
      <w:r w:rsidR="004A7553">
        <w:rPr>
          <w:rFonts w:ascii="Verdana" w:eastAsia="Times New Roman" w:hAnsi="Verdana" w:cs="Times New Roman"/>
          <w:b/>
          <w:bCs/>
          <w:color w:val="000000"/>
          <w:sz w:val="18"/>
          <w:szCs w:val="18"/>
        </w:rPr>
        <w:t>’</w:t>
      </w:r>
      <w:r w:rsidRPr="0090090E">
        <w:rPr>
          <w:rFonts w:ascii="Verdana" w:eastAsia="Times New Roman" w:hAnsi="Verdana" w:cs="Times New Roman"/>
          <w:b/>
          <w:bCs/>
          <w:color w:val="000000"/>
          <w:sz w:val="18"/>
          <w:szCs w:val="18"/>
        </w:rPr>
        <w:t xml:space="preserve"> will continue to appear in the VR11 Part 1 Assurance Chart for students missing a Date of Meeting to Discuss Completed Evaluation.</w:t>
      </w:r>
    </w:p>
    <w:p w14:paraId="65D2B5C3" w14:textId="77777777" w:rsidR="00EE74D8" w:rsidRPr="00EE74D8" w:rsidRDefault="00EE74D8" w:rsidP="00EE74D8">
      <w:pPr>
        <w:numPr>
          <w:ilvl w:val="0"/>
          <w:numId w:val="6"/>
        </w:numPr>
        <w:shd w:val="clear" w:color="auto" w:fill="FFFFFF"/>
        <w:spacing w:before="100" w:beforeAutospacing="1" w:after="100" w:afterAutospacing="1" w:line="252" w:lineRule="atLeast"/>
        <w:rPr>
          <w:rFonts w:ascii="Verdana" w:eastAsia="Times New Roman" w:hAnsi="Verdana" w:cs="Times New Roman"/>
          <w:color w:val="000000"/>
          <w:sz w:val="18"/>
          <w:szCs w:val="18"/>
        </w:rPr>
      </w:pPr>
      <w:r w:rsidRPr="00EE74D8">
        <w:rPr>
          <w:rFonts w:ascii="Verdana" w:eastAsia="Times New Roman" w:hAnsi="Verdana" w:cs="Times New Roman"/>
          <w:color w:val="000000"/>
          <w:sz w:val="18"/>
          <w:szCs w:val="18"/>
        </w:rPr>
        <w:t>If the meeting did not occur, the school district must document the reason(s) why an evaluation has not been completed and the meeting has not been held. This documentation must be made available upon request by NYSED's Special Education Quality Assurance (SEQA) personnel who will be continuing the review of records for these students to determine whether each individual case of noncompliance has been corrected.</w:t>
      </w:r>
    </w:p>
    <w:p w14:paraId="5F93F120" w14:textId="78610993" w:rsidR="00EE74D8" w:rsidRPr="0090090E" w:rsidRDefault="00EE74D8" w:rsidP="00BB24E2">
      <w:pPr>
        <w:numPr>
          <w:ilvl w:val="0"/>
          <w:numId w:val="6"/>
        </w:numPr>
        <w:shd w:val="clear" w:color="auto" w:fill="FFFFFF"/>
        <w:spacing w:before="100" w:beforeAutospacing="1" w:after="100" w:afterAutospacing="1" w:line="252" w:lineRule="atLeast"/>
        <w:rPr>
          <w:rFonts w:ascii="Verdana" w:eastAsia="Times New Roman" w:hAnsi="Verdana" w:cs="Times New Roman"/>
          <w:b/>
          <w:bCs/>
          <w:color w:val="000000"/>
          <w:sz w:val="18"/>
          <w:szCs w:val="18"/>
        </w:rPr>
      </w:pPr>
      <w:r w:rsidRPr="00BB24E2">
        <w:rPr>
          <w:rFonts w:ascii="Verdana" w:eastAsia="Times New Roman" w:hAnsi="Verdana" w:cs="Times New Roman"/>
          <w:color w:val="000000"/>
          <w:sz w:val="18"/>
          <w:szCs w:val="18"/>
        </w:rPr>
        <w:t xml:space="preserve">Once the review of the VR11 </w:t>
      </w:r>
      <w:r w:rsidR="00EE3B58" w:rsidRPr="00BB24E2">
        <w:rPr>
          <w:rFonts w:ascii="Verdana" w:eastAsia="Times New Roman" w:hAnsi="Verdana" w:cs="Times New Roman"/>
          <w:color w:val="000000"/>
          <w:sz w:val="18"/>
          <w:szCs w:val="18"/>
        </w:rPr>
        <w:t>Part 1 Assurance Chart</w:t>
      </w:r>
      <w:r w:rsidRPr="00BB24E2">
        <w:rPr>
          <w:rFonts w:ascii="Verdana" w:eastAsia="Times New Roman" w:hAnsi="Verdana" w:cs="Times New Roman"/>
          <w:color w:val="000000"/>
          <w:sz w:val="18"/>
          <w:szCs w:val="18"/>
        </w:rPr>
        <w:t xml:space="preserve"> and any required documentation is complete, including the submission of meeting dates to L0 Historical, please read and submit Part 1 of the VR11 assurance. NYSED will verify data reported through L0 Historical and SEQA personnel will request additional documentation from the school district if further verification is required to ensure all cases of identified 202</w:t>
      </w:r>
      <w:r w:rsidR="00D94127" w:rsidRPr="00BB24E2">
        <w:rPr>
          <w:rFonts w:ascii="Verdana" w:eastAsia="Times New Roman" w:hAnsi="Verdana" w:cs="Times New Roman"/>
          <w:color w:val="000000"/>
          <w:sz w:val="18"/>
          <w:szCs w:val="18"/>
        </w:rPr>
        <w:t>2</w:t>
      </w:r>
      <w:r w:rsidRPr="00BB24E2">
        <w:rPr>
          <w:rFonts w:ascii="Verdana" w:eastAsia="Times New Roman" w:hAnsi="Verdana" w:cs="Times New Roman"/>
          <w:color w:val="000000"/>
          <w:sz w:val="18"/>
          <w:szCs w:val="18"/>
        </w:rPr>
        <w:t>-2</w:t>
      </w:r>
      <w:r w:rsidR="00D81F50" w:rsidRPr="00BB24E2">
        <w:rPr>
          <w:rFonts w:ascii="Verdana" w:eastAsia="Times New Roman" w:hAnsi="Verdana" w:cs="Times New Roman"/>
          <w:color w:val="000000"/>
          <w:sz w:val="18"/>
          <w:szCs w:val="18"/>
        </w:rPr>
        <w:t>3</w:t>
      </w:r>
      <w:r w:rsidRPr="00BB24E2">
        <w:rPr>
          <w:rFonts w:ascii="Verdana" w:eastAsia="Times New Roman" w:hAnsi="Verdana" w:cs="Times New Roman"/>
          <w:color w:val="000000"/>
          <w:sz w:val="18"/>
          <w:szCs w:val="18"/>
        </w:rPr>
        <w:t xml:space="preserve"> student-specific noncompliance have been resolved.</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620"/>
        <w:gridCol w:w="2211"/>
        <w:gridCol w:w="2403"/>
        <w:gridCol w:w="2148"/>
      </w:tblGrid>
      <w:tr w:rsidR="009E46E6" w:rsidRPr="00672AD1" w14:paraId="1BDC1768" w14:textId="77777777" w:rsidTr="0090090E">
        <w:tc>
          <w:tcPr>
            <w:tcW w:w="5000" w:type="pct"/>
            <w:gridSpan w:val="5"/>
            <w:shd w:val="clear" w:color="auto" w:fill="DBE5F1"/>
            <w:vAlign w:val="bottom"/>
          </w:tcPr>
          <w:p w14:paraId="76EE8EE9" w14:textId="01B2B299" w:rsidR="00EE74D8" w:rsidRPr="00EE74D8" w:rsidRDefault="00EE74D8" w:rsidP="00D503A7">
            <w:pPr>
              <w:pStyle w:val="NormalWeb"/>
              <w:jc w:val="center"/>
              <w:rPr>
                <w:rFonts w:ascii="Verdana" w:hAnsi="Verdana"/>
                <w:b/>
                <w:bCs/>
                <w:color w:val="000000"/>
                <w:sz w:val="18"/>
                <w:szCs w:val="18"/>
              </w:rPr>
            </w:pPr>
            <w:r>
              <w:rPr>
                <w:rFonts w:ascii="Verdana" w:hAnsi="Verdana"/>
                <w:b/>
                <w:bCs/>
                <w:color w:val="000000"/>
                <w:sz w:val="18"/>
                <w:szCs w:val="18"/>
              </w:rPr>
              <w:t>VR11 Part 1 Assurance Chart</w:t>
            </w:r>
          </w:p>
        </w:tc>
      </w:tr>
      <w:tr w:rsidR="005C2202" w:rsidRPr="00672AD1" w14:paraId="6BF3E3CB" w14:textId="77777777" w:rsidTr="0090090E">
        <w:tc>
          <w:tcPr>
            <w:tcW w:w="731" w:type="pct"/>
            <w:shd w:val="clear" w:color="auto" w:fill="DBE5F1"/>
            <w:vAlign w:val="bottom"/>
          </w:tcPr>
          <w:p w14:paraId="7710EDFB" w14:textId="77777777" w:rsidR="00D96000" w:rsidRPr="00672AD1" w:rsidRDefault="00D96000" w:rsidP="00D503A7">
            <w:pPr>
              <w:pStyle w:val="NormalWeb"/>
              <w:jc w:val="center"/>
              <w:rPr>
                <w:rFonts w:ascii="Verdana" w:hAnsi="Verdana"/>
                <w:b/>
                <w:color w:val="000000"/>
                <w:sz w:val="18"/>
                <w:szCs w:val="18"/>
              </w:rPr>
            </w:pPr>
            <w:r w:rsidRPr="00672AD1">
              <w:rPr>
                <w:rFonts w:ascii="Verdana" w:hAnsi="Verdana"/>
                <w:b/>
                <w:color w:val="000000"/>
                <w:sz w:val="18"/>
                <w:szCs w:val="18"/>
              </w:rPr>
              <w:t>Student’s Local ID</w:t>
            </w:r>
          </w:p>
        </w:tc>
        <w:tc>
          <w:tcPr>
            <w:tcW w:w="825" w:type="pct"/>
            <w:shd w:val="clear" w:color="auto" w:fill="DBE5F1"/>
            <w:vAlign w:val="bottom"/>
          </w:tcPr>
          <w:p w14:paraId="5F869BA3" w14:textId="77777777" w:rsidR="00D96000" w:rsidRPr="00672AD1" w:rsidRDefault="00D96000" w:rsidP="00D503A7">
            <w:pPr>
              <w:pStyle w:val="NormalWeb"/>
              <w:jc w:val="center"/>
              <w:rPr>
                <w:rFonts w:ascii="Verdana" w:hAnsi="Verdana"/>
                <w:b/>
                <w:color w:val="000000"/>
                <w:sz w:val="18"/>
                <w:szCs w:val="18"/>
              </w:rPr>
            </w:pPr>
            <w:r w:rsidRPr="00672AD1">
              <w:rPr>
                <w:rFonts w:ascii="Verdana" w:hAnsi="Verdana"/>
                <w:b/>
                <w:color w:val="000000"/>
                <w:sz w:val="18"/>
                <w:szCs w:val="18"/>
              </w:rPr>
              <w:t>Preschool or School-age</w:t>
            </w:r>
          </w:p>
        </w:tc>
        <w:tc>
          <w:tcPr>
            <w:tcW w:w="1126" w:type="pct"/>
            <w:shd w:val="clear" w:color="auto" w:fill="DBE5F1"/>
            <w:vAlign w:val="bottom"/>
          </w:tcPr>
          <w:p w14:paraId="4A0D93F5" w14:textId="77777777" w:rsidR="00D96000" w:rsidRPr="00672AD1" w:rsidRDefault="00D96000" w:rsidP="00D503A7">
            <w:pPr>
              <w:pStyle w:val="NormalWeb"/>
              <w:jc w:val="center"/>
              <w:rPr>
                <w:rFonts w:ascii="Verdana" w:hAnsi="Verdana"/>
                <w:b/>
                <w:color w:val="000000"/>
                <w:sz w:val="18"/>
                <w:szCs w:val="18"/>
              </w:rPr>
            </w:pPr>
            <w:r w:rsidRPr="00672AD1">
              <w:rPr>
                <w:rFonts w:ascii="Verdana" w:hAnsi="Verdana"/>
                <w:b/>
                <w:color w:val="000000"/>
                <w:sz w:val="18"/>
                <w:szCs w:val="18"/>
              </w:rPr>
              <w:t>Date of Referral to CPSE or CSE</w:t>
            </w:r>
          </w:p>
        </w:tc>
        <w:tc>
          <w:tcPr>
            <w:tcW w:w="1224" w:type="pct"/>
            <w:shd w:val="clear" w:color="auto" w:fill="DBE5F1"/>
            <w:vAlign w:val="bottom"/>
          </w:tcPr>
          <w:p w14:paraId="05F1EC62" w14:textId="77777777" w:rsidR="00D96000" w:rsidRPr="00672AD1" w:rsidRDefault="00D96000" w:rsidP="00D503A7">
            <w:pPr>
              <w:pStyle w:val="NormalWeb"/>
              <w:jc w:val="center"/>
              <w:rPr>
                <w:rFonts w:ascii="Verdana" w:hAnsi="Verdana"/>
                <w:b/>
                <w:color w:val="000000"/>
                <w:sz w:val="18"/>
                <w:szCs w:val="18"/>
              </w:rPr>
            </w:pPr>
            <w:r w:rsidRPr="00672AD1">
              <w:rPr>
                <w:rFonts w:ascii="Verdana" w:hAnsi="Verdana"/>
                <w:b/>
                <w:color w:val="000000"/>
                <w:sz w:val="18"/>
                <w:szCs w:val="18"/>
              </w:rPr>
              <w:t>Date of Receipt of Parent Consent to Evaluate</w:t>
            </w:r>
          </w:p>
        </w:tc>
        <w:tc>
          <w:tcPr>
            <w:tcW w:w="1094" w:type="pct"/>
            <w:shd w:val="clear" w:color="auto" w:fill="DBE5F1"/>
            <w:vAlign w:val="bottom"/>
          </w:tcPr>
          <w:p w14:paraId="2D061EEE" w14:textId="3DB9488F" w:rsidR="00D96000" w:rsidRPr="00672AD1" w:rsidRDefault="00D96000" w:rsidP="00D503A7">
            <w:pPr>
              <w:pStyle w:val="NormalWeb"/>
              <w:jc w:val="center"/>
              <w:rPr>
                <w:rFonts w:ascii="Verdana" w:hAnsi="Verdana"/>
                <w:b/>
                <w:color w:val="000000"/>
                <w:sz w:val="18"/>
                <w:szCs w:val="18"/>
              </w:rPr>
            </w:pPr>
            <w:r w:rsidRPr="0090090E">
              <w:rPr>
                <w:rFonts w:ascii="Verdana" w:hAnsi="Verdana"/>
                <w:b/>
                <w:bCs/>
                <w:color w:val="000000"/>
                <w:sz w:val="18"/>
                <w:szCs w:val="18"/>
              </w:rPr>
              <w:t>Date of Meeting to Discuss Completed Evaluation</w:t>
            </w:r>
          </w:p>
        </w:tc>
      </w:tr>
      <w:tr w:rsidR="005C2202" w:rsidRPr="00672AD1" w14:paraId="2E804E4E" w14:textId="77777777" w:rsidTr="0090090E">
        <w:tc>
          <w:tcPr>
            <w:tcW w:w="731" w:type="pct"/>
            <w:shd w:val="clear" w:color="auto" w:fill="auto"/>
          </w:tcPr>
          <w:p w14:paraId="0676D697" w14:textId="08216F0B" w:rsidR="00D96000" w:rsidRPr="00672AD1" w:rsidRDefault="00FC6C3D" w:rsidP="00D503A7">
            <w:pPr>
              <w:pStyle w:val="NormalWeb"/>
              <w:rPr>
                <w:rFonts w:ascii="Verdana" w:hAnsi="Verdana"/>
                <w:color w:val="000000"/>
                <w:sz w:val="18"/>
                <w:szCs w:val="18"/>
              </w:rPr>
            </w:pPr>
            <w:r>
              <w:rPr>
                <w:rFonts w:ascii="Verdana" w:hAnsi="Verdana"/>
                <w:noProof/>
                <w:color w:val="000000"/>
                <w:sz w:val="18"/>
                <w:szCs w:val="18"/>
              </w:rPr>
              <mc:AlternateContent>
                <mc:Choice Requires="wps">
                  <w:drawing>
                    <wp:anchor distT="0" distB="0" distL="114300" distR="114300" simplePos="0" relativeHeight="251658240" behindDoc="0" locked="0" layoutInCell="1" allowOverlap="1" wp14:anchorId="2420460E" wp14:editId="2D9E000D">
                      <wp:simplePos x="0" y="0"/>
                      <wp:positionH relativeFrom="column">
                        <wp:posOffset>-54822</wp:posOffset>
                      </wp:positionH>
                      <wp:positionV relativeFrom="paragraph">
                        <wp:posOffset>81492</wp:posOffset>
                      </wp:positionV>
                      <wp:extent cx="723418" cy="266218"/>
                      <wp:effectExtent l="0" t="0" r="19685" b="19685"/>
                      <wp:wrapNone/>
                      <wp:docPr id="1" name="Oval 1"/>
                      <wp:cNvGraphicFramePr/>
                      <a:graphic xmlns:a="http://schemas.openxmlformats.org/drawingml/2006/main">
                        <a:graphicData uri="http://schemas.microsoft.com/office/word/2010/wordprocessingShape">
                          <wps:wsp>
                            <wps:cNvSpPr/>
                            <wps:spPr>
                              <a:xfrm>
                                <a:off x="0" y="0"/>
                                <a:ext cx="723418" cy="2662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58F64E2" id="Oval 1" o:spid="_x0000_s1026" style="position:absolute;margin-left:-4.3pt;margin-top:6.4pt;width:56.9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" filled="f" strokecolor="#243f60 [1604]" strokeweight="2pt"/>
                  </w:pict>
                </mc:Fallback>
              </mc:AlternateContent>
            </w:r>
            <w:r w:rsidR="00E43D65">
              <w:rPr>
                <w:rFonts w:ascii="Verdana" w:hAnsi="Verdana"/>
                <w:color w:val="000000"/>
                <w:sz w:val="18"/>
                <w:szCs w:val="18"/>
              </w:rPr>
              <w:t>00001234</w:t>
            </w:r>
          </w:p>
        </w:tc>
        <w:tc>
          <w:tcPr>
            <w:tcW w:w="825" w:type="pct"/>
            <w:shd w:val="clear" w:color="auto" w:fill="auto"/>
          </w:tcPr>
          <w:p w14:paraId="18130B71" w14:textId="05ADAB5A" w:rsidR="00D96000" w:rsidRPr="00672AD1" w:rsidRDefault="005902CA" w:rsidP="00D503A7">
            <w:pPr>
              <w:pStyle w:val="NormalWeb"/>
              <w:rPr>
                <w:rFonts w:ascii="Verdana" w:hAnsi="Verdana"/>
                <w:color w:val="000000"/>
                <w:sz w:val="18"/>
                <w:szCs w:val="18"/>
              </w:rPr>
            </w:pPr>
            <w:r>
              <w:rPr>
                <w:rFonts w:ascii="Verdana" w:hAnsi="Verdana"/>
                <w:color w:val="000000"/>
                <w:sz w:val="18"/>
                <w:szCs w:val="18"/>
              </w:rPr>
              <w:t>School-age</w:t>
            </w:r>
          </w:p>
        </w:tc>
        <w:tc>
          <w:tcPr>
            <w:tcW w:w="1126" w:type="pct"/>
            <w:shd w:val="clear" w:color="auto" w:fill="auto"/>
          </w:tcPr>
          <w:p w14:paraId="2DAAA473" w14:textId="63BBEDB0" w:rsidR="00D96000" w:rsidRPr="00672AD1" w:rsidRDefault="0098165E" w:rsidP="00D503A7">
            <w:pPr>
              <w:pStyle w:val="NormalWeb"/>
              <w:rPr>
                <w:rFonts w:ascii="Verdana" w:hAnsi="Verdana"/>
                <w:color w:val="000000"/>
                <w:sz w:val="18"/>
                <w:szCs w:val="18"/>
              </w:rPr>
            </w:pPr>
            <w:r>
              <w:rPr>
                <w:rFonts w:ascii="Verdana" w:hAnsi="Verdana"/>
                <w:color w:val="000000"/>
                <w:sz w:val="18"/>
                <w:szCs w:val="18"/>
              </w:rPr>
              <w:t>1</w:t>
            </w:r>
            <w:r w:rsidR="00E525F1">
              <w:rPr>
                <w:rFonts w:ascii="Verdana" w:hAnsi="Verdana"/>
                <w:color w:val="000000"/>
                <w:sz w:val="18"/>
                <w:szCs w:val="18"/>
              </w:rPr>
              <w:t>0</w:t>
            </w:r>
            <w:r>
              <w:rPr>
                <w:rFonts w:ascii="Verdana" w:hAnsi="Verdana"/>
                <w:color w:val="000000"/>
                <w:sz w:val="18"/>
                <w:szCs w:val="18"/>
              </w:rPr>
              <w:t>/17/202</w:t>
            </w:r>
            <w:r w:rsidR="009440A9">
              <w:rPr>
                <w:rFonts w:ascii="Verdana" w:hAnsi="Verdana"/>
                <w:color w:val="000000"/>
                <w:sz w:val="18"/>
                <w:szCs w:val="18"/>
              </w:rPr>
              <w:t>2</w:t>
            </w:r>
          </w:p>
        </w:tc>
        <w:tc>
          <w:tcPr>
            <w:tcW w:w="1224" w:type="pct"/>
            <w:shd w:val="clear" w:color="auto" w:fill="auto"/>
          </w:tcPr>
          <w:p w14:paraId="0673A4AD" w14:textId="2D298E27" w:rsidR="00D96000" w:rsidRPr="00672AD1" w:rsidRDefault="00E525F1" w:rsidP="00D503A7">
            <w:pPr>
              <w:pStyle w:val="NormalWeb"/>
              <w:rPr>
                <w:rFonts w:ascii="Verdana" w:hAnsi="Verdana"/>
                <w:color w:val="000000"/>
                <w:sz w:val="18"/>
                <w:szCs w:val="18"/>
              </w:rPr>
            </w:pPr>
            <w:r>
              <w:rPr>
                <w:rFonts w:ascii="Verdana" w:hAnsi="Verdana"/>
                <w:color w:val="000000"/>
                <w:sz w:val="18"/>
                <w:szCs w:val="18"/>
              </w:rPr>
              <w:t>10/23/202</w:t>
            </w:r>
            <w:r w:rsidR="009440A9">
              <w:rPr>
                <w:rFonts w:ascii="Verdana" w:hAnsi="Verdana"/>
                <w:color w:val="000000"/>
                <w:sz w:val="18"/>
                <w:szCs w:val="18"/>
              </w:rPr>
              <w:t>2</w:t>
            </w:r>
          </w:p>
        </w:tc>
        <w:tc>
          <w:tcPr>
            <w:tcW w:w="1094" w:type="pct"/>
            <w:shd w:val="clear" w:color="auto" w:fill="auto"/>
          </w:tcPr>
          <w:p w14:paraId="1D812C9C" w14:textId="2E3F3739" w:rsidR="00D96000" w:rsidRPr="00672AD1" w:rsidRDefault="0098165E" w:rsidP="00D503A7">
            <w:pPr>
              <w:pStyle w:val="NormalWeb"/>
              <w:rPr>
                <w:rFonts w:ascii="Verdana" w:hAnsi="Verdana"/>
                <w:color w:val="000000"/>
                <w:sz w:val="18"/>
                <w:szCs w:val="18"/>
              </w:rPr>
            </w:pPr>
            <w:r>
              <w:rPr>
                <w:rFonts w:ascii="Verdana" w:hAnsi="Verdana"/>
                <w:color w:val="000000"/>
                <w:sz w:val="18"/>
                <w:szCs w:val="18"/>
              </w:rPr>
              <w:t>03/04/202</w:t>
            </w:r>
            <w:r w:rsidR="009440A9">
              <w:rPr>
                <w:rFonts w:ascii="Verdana" w:hAnsi="Verdana"/>
                <w:color w:val="000000"/>
                <w:sz w:val="18"/>
                <w:szCs w:val="18"/>
              </w:rPr>
              <w:t>3</w:t>
            </w:r>
          </w:p>
        </w:tc>
      </w:tr>
      <w:tr w:rsidR="005C2202" w:rsidRPr="00672AD1" w14:paraId="517497EE" w14:textId="77777777" w:rsidTr="0090090E">
        <w:tc>
          <w:tcPr>
            <w:tcW w:w="731" w:type="pct"/>
            <w:shd w:val="clear" w:color="auto" w:fill="auto"/>
          </w:tcPr>
          <w:p w14:paraId="774F2FEC" w14:textId="77537A99" w:rsidR="00E43D65" w:rsidRDefault="00E43D65" w:rsidP="00D503A7">
            <w:pPr>
              <w:pStyle w:val="NormalWeb"/>
              <w:rPr>
                <w:rFonts w:ascii="Verdana" w:hAnsi="Verdana"/>
                <w:color w:val="000000"/>
                <w:sz w:val="18"/>
                <w:szCs w:val="18"/>
              </w:rPr>
            </w:pPr>
            <w:r>
              <w:rPr>
                <w:rFonts w:ascii="Verdana" w:hAnsi="Verdana"/>
                <w:color w:val="000000"/>
                <w:sz w:val="18"/>
                <w:szCs w:val="18"/>
              </w:rPr>
              <w:t>00001256</w:t>
            </w:r>
          </w:p>
        </w:tc>
        <w:tc>
          <w:tcPr>
            <w:tcW w:w="825" w:type="pct"/>
            <w:shd w:val="clear" w:color="auto" w:fill="auto"/>
          </w:tcPr>
          <w:p w14:paraId="33EE7608" w14:textId="19B24030" w:rsidR="00E43D65" w:rsidRPr="00672AD1" w:rsidDel="00D96000" w:rsidRDefault="005902CA" w:rsidP="00D503A7">
            <w:pPr>
              <w:pStyle w:val="NormalWeb"/>
              <w:rPr>
                <w:rFonts w:ascii="Verdana" w:hAnsi="Verdana"/>
                <w:color w:val="000000"/>
                <w:sz w:val="18"/>
                <w:szCs w:val="18"/>
              </w:rPr>
            </w:pPr>
            <w:r>
              <w:rPr>
                <w:rFonts w:ascii="Verdana" w:hAnsi="Verdana"/>
                <w:color w:val="000000"/>
                <w:sz w:val="18"/>
                <w:szCs w:val="18"/>
                <w:shd w:val="clear" w:color="auto" w:fill="FFFFFF"/>
              </w:rPr>
              <w:t>Preschool</w:t>
            </w:r>
          </w:p>
        </w:tc>
        <w:tc>
          <w:tcPr>
            <w:tcW w:w="1126" w:type="pct"/>
            <w:shd w:val="clear" w:color="auto" w:fill="auto"/>
          </w:tcPr>
          <w:p w14:paraId="5E32F023" w14:textId="4A36635E" w:rsidR="00E43D65" w:rsidRPr="00672AD1" w:rsidDel="00D96000" w:rsidRDefault="0071770B" w:rsidP="00D503A7">
            <w:pPr>
              <w:pStyle w:val="NormalWeb"/>
              <w:rPr>
                <w:rFonts w:ascii="Verdana" w:hAnsi="Verdana"/>
                <w:color w:val="000000"/>
                <w:sz w:val="18"/>
                <w:szCs w:val="18"/>
              </w:rPr>
            </w:pPr>
            <w:r>
              <w:rPr>
                <w:rFonts w:ascii="Verdana" w:hAnsi="Verdana"/>
                <w:color w:val="000000"/>
                <w:sz w:val="18"/>
                <w:szCs w:val="18"/>
                <w:shd w:val="clear" w:color="auto" w:fill="FFFFFF"/>
              </w:rPr>
              <w:t>08/03/202</w:t>
            </w:r>
            <w:r w:rsidR="009440A9">
              <w:rPr>
                <w:rFonts w:ascii="Verdana" w:hAnsi="Verdana"/>
                <w:color w:val="000000"/>
                <w:sz w:val="18"/>
                <w:szCs w:val="18"/>
                <w:shd w:val="clear" w:color="auto" w:fill="FFFFFF"/>
              </w:rPr>
              <w:t>2</w:t>
            </w:r>
          </w:p>
        </w:tc>
        <w:tc>
          <w:tcPr>
            <w:tcW w:w="1224" w:type="pct"/>
            <w:shd w:val="clear" w:color="auto" w:fill="auto"/>
          </w:tcPr>
          <w:p w14:paraId="633369BF" w14:textId="238EE8F0" w:rsidR="00E43D65" w:rsidRPr="00672AD1" w:rsidDel="00D96000" w:rsidRDefault="00FC6C3D" w:rsidP="00D503A7">
            <w:pPr>
              <w:pStyle w:val="NormalWeb"/>
              <w:rPr>
                <w:rFonts w:ascii="Verdana" w:hAnsi="Verdana"/>
                <w:color w:val="000000"/>
                <w:sz w:val="18"/>
                <w:szCs w:val="18"/>
              </w:rPr>
            </w:pPr>
            <w:r>
              <w:rPr>
                <w:rFonts w:ascii="Verdana" w:hAnsi="Verdana"/>
                <w:color w:val="000000"/>
                <w:sz w:val="18"/>
                <w:szCs w:val="18"/>
                <w:shd w:val="clear" w:color="auto" w:fill="FFFFFF"/>
              </w:rPr>
              <w:t>08/13/202</w:t>
            </w:r>
            <w:r w:rsidR="009440A9">
              <w:rPr>
                <w:rFonts w:ascii="Verdana" w:hAnsi="Verdana"/>
                <w:color w:val="000000"/>
                <w:sz w:val="18"/>
                <w:szCs w:val="18"/>
                <w:shd w:val="clear" w:color="auto" w:fill="FFFFFF"/>
              </w:rPr>
              <w:t>2</w:t>
            </w:r>
          </w:p>
        </w:tc>
        <w:tc>
          <w:tcPr>
            <w:tcW w:w="1094" w:type="pct"/>
            <w:shd w:val="clear" w:color="auto" w:fill="auto"/>
          </w:tcPr>
          <w:p w14:paraId="466CA7F7" w14:textId="42915939" w:rsidR="00E43D65" w:rsidRPr="00672AD1" w:rsidRDefault="00FC6C3D" w:rsidP="00D503A7">
            <w:pPr>
              <w:pStyle w:val="NormalWeb"/>
              <w:rPr>
                <w:rFonts w:ascii="Verdana" w:hAnsi="Verdana"/>
                <w:color w:val="000000"/>
                <w:sz w:val="18"/>
                <w:szCs w:val="18"/>
              </w:rPr>
            </w:pPr>
            <w:r>
              <w:rPr>
                <w:rFonts w:ascii="Verdana" w:hAnsi="Verdana"/>
                <w:color w:val="000000"/>
                <w:sz w:val="18"/>
                <w:szCs w:val="18"/>
              </w:rPr>
              <w:t>Not Reported</w:t>
            </w:r>
          </w:p>
        </w:tc>
      </w:tr>
    </w:tbl>
    <w:p w14:paraId="7C34A450" w14:textId="3C8B0638" w:rsidR="00D503A7" w:rsidRPr="0090090E" w:rsidRDefault="00BB24E2" w:rsidP="00D503A7">
      <w:pPr>
        <w:shd w:val="clear" w:color="auto" w:fill="FFFFFF" w:themeFill="background1"/>
        <w:ind w:left="-90" w:right="-180"/>
        <w:jc w:val="both"/>
        <w:rPr>
          <w:rFonts w:ascii="Garamond" w:eastAsia="Times New Roman" w:hAnsi="Garamond" w:cs="Arial"/>
          <w:color w:val="000000" w:themeColor="text1"/>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58242" behindDoc="0" locked="0" layoutInCell="1" allowOverlap="1" wp14:anchorId="4F28879C" wp14:editId="4F62418F">
                <wp:simplePos x="0" y="0"/>
                <wp:positionH relativeFrom="column">
                  <wp:posOffset>539127</wp:posOffset>
                </wp:positionH>
                <wp:positionV relativeFrom="paragraph">
                  <wp:posOffset>57422</wp:posOffset>
                </wp:positionV>
                <wp:extent cx="237850" cy="126853"/>
                <wp:effectExtent l="0" t="0" r="29210" b="26035"/>
                <wp:wrapNone/>
                <wp:docPr id="6" name="Straight Connector 6"/>
                <wp:cNvGraphicFramePr/>
                <a:graphic xmlns:a="http://schemas.openxmlformats.org/drawingml/2006/main">
                  <a:graphicData uri="http://schemas.microsoft.com/office/word/2010/wordprocessingShape">
                    <wps:wsp>
                      <wps:cNvCnPr/>
                      <wps:spPr>
                        <a:xfrm>
                          <a:off x="0" y="0"/>
                          <a:ext cx="237850" cy="126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7C898"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4.5pt" to="6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" strokecolor="#4579b8 [3044]"/>
            </w:pict>
          </mc:Fallback>
        </mc:AlternateContent>
      </w:r>
    </w:p>
    <w:p w14:paraId="2D37F0D9" w14:textId="3C7A73AD" w:rsidR="00FC6C3D" w:rsidRPr="0090090E" w:rsidRDefault="00FC6C3D" w:rsidP="0090090E">
      <w:pPr>
        <w:shd w:val="clear" w:color="auto" w:fill="FFFFFF" w:themeFill="background1"/>
        <w:ind w:left="1260" w:right="540"/>
        <w:jc w:val="both"/>
        <w:rPr>
          <w:rFonts w:ascii="Verdana" w:eastAsia="Times New Roman" w:hAnsi="Verdana" w:cs="Arial"/>
          <w:color w:val="000000" w:themeColor="text1"/>
          <w:sz w:val="18"/>
          <w:szCs w:val="18"/>
        </w:rPr>
      </w:pPr>
      <w:r w:rsidRPr="0090090E">
        <w:rPr>
          <w:rFonts w:ascii="Verdana" w:eastAsia="Times New Roman" w:hAnsi="Verdana" w:cs="Arial"/>
          <w:color w:val="000000" w:themeColor="text1"/>
          <w:sz w:val="18"/>
          <w:szCs w:val="18"/>
        </w:rPr>
        <w:t xml:space="preserve">The Date of Meeting to Discuss Completed Evaluation for this student must be reported to Level 0 Historical once the meeting has been held. </w:t>
      </w:r>
    </w:p>
    <w:p w14:paraId="19FE4730" w14:textId="4F71BEB6" w:rsidR="002B72EB" w:rsidRDefault="002B72EB" w:rsidP="00D503A7">
      <w:pPr>
        <w:shd w:val="clear" w:color="auto" w:fill="FFFFFF" w:themeFill="background1"/>
        <w:ind w:left="-90" w:right="-180"/>
        <w:jc w:val="both"/>
        <w:rPr>
          <w:rFonts w:ascii="Verdana" w:eastAsia="Times New Roman" w:hAnsi="Verdana" w:cs="Arial"/>
          <w:color w:val="000000" w:themeColor="text1"/>
          <w:sz w:val="18"/>
          <w:szCs w:val="18"/>
        </w:rPr>
      </w:pPr>
    </w:p>
    <w:p w14:paraId="5C37E481" w14:textId="77777777" w:rsidR="002B72EB" w:rsidRPr="0090090E" w:rsidRDefault="002B72EB" w:rsidP="00D503A7">
      <w:pPr>
        <w:shd w:val="clear" w:color="auto" w:fill="FFFFFF" w:themeFill="background1"/>
        <w:ind w:left="-90" w:right="-180"/>
        <w:jc w:val="both"/>
        <w:rPr>
          <w:rFonts w:ascii="Verdana" w:eastAsia="Times New Roman" w:hAnsi="Verdana" w:cs="Arial"/>
          <w:color w:val="000000" w:themeColor="text1"/>
          <w:sz w:val="18"/>
          <w:szCs w:val="18"/>
        </w:rPr>
      </w:pPr>
    </w:p>
    <w:p w14:paraId="04E01106" w14:textId="179FEE8D" w:rsidR="00EE74D8" w:rsidRDefault="00EE74D8" w:rsidP="00EE74D8">
      <w:pPr>
        <w:pStyle w:val="directions"/>
        <w:shd w:val="clear" w:color="auto" w:fill="FFFFFF"/>
        <w:spacing w:before="150" w:beforeAutospacing="0" w:line="252" w:lineRule="atLeast"/>
        <w:rPr>
          <w:rFonts w:ascii="Verdana" w:hAnsi="Verdana"/>
          <w:color w:val="000000"/>
          <w:sz w:val="18"/>
          <w:szCs w:val="18"/>
        </w:rPr>
      </w:pPr>
      <w:r>
        <w:rPr>
          <w:rFonts w:ascii="Verdana" w:hAnsi="Verdana"/>
          <w:b/>
          <w:bCs/>
          <w:color w:val="000000"/>
          <w:sz w:val="18"/>
          <w:szCs w:val="18"/>
        </w:rPr>
        <w:t>Part 2: Documentation of Correction of Noncompliance for All Students:</w:t>
      </w:r>
    </w:p>
    <w:p w14:paraId="62E53119" w14:textId="77777777" w:rsidR="00EE74D8" w:rsidRPr="0090090E" w:rsidRDefault="00EE74D8" w:rsidP="00EE74D8">
      <w:pPr>
        <w:pStyle w:val="Heading4"/>
        <w:shd w:val="clear" w:color="auto" w:fill="FFFFFF"/>
        <w:spacing w:before="15" w:after="15"/>
        <w:ind w:left="15" w:right="15"/>
        <w:rPr>
          <w:rFonts w:ascii="Verdana" w:hAnsi="Verdana"/>
          <w:sz w:val="18"/>
          <w:szCs w:val="18"/>
        </w:rPr>
      </w:pPr>
      <w:r w:rsidRPr="0090090E">
        <w:rPr>
          <w:rFonts w:ascii="Verdana" w:hAnsi="Verdana"/>
          <w:sz w:val="18"/>
          <w:szCs w:val="18"/>
        </w:rPr>
        <w:lastRenderedPageBreak/>
        <w:t>First Data Submission</w:t>
      </w:r>
    </w:p>
    <w:p w14:paraId="0D997E80" w14:textId="732471E0" w:rsidR="00EE74D8" w:rsidRDefault="00EE74D8" w:rsidP="00EE74D8">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The first 202</w:t>
      </w:r>
      <w:r w:rsidR="009440A9">
        <w:rPr>
          <w:rFonts w:ascii="Verdana" w:hAnsi="Verdana"/>
          <w:color w:val="000000"/>
          <w:sz w:val="18"/>
          <w:szCs w:val="18"/>
        </w:rPr>
        <w:t>3</w:t>
      </w:r>
      <w:r>
        <w:rPr>
          <w:rFonts w:ascii="Verdana" w:hAnsi="Verdana"/>
          <w:color w:val="000000"/>
          <w:sz w:val="18"/>
          <w:szCs w:val="18"/>
        </w:rPr>
        <w:t>-2</w:t>
      </w:r>
      <w:r w:rsidR="009440A9">
        <w:rPr>
          <w:rFonts w:ascii="Verdana" w:hAnsi="Verdana"/>
          <w:color w:val="000000"/>
          <w:sz w:val="18"/>
          <w:szCs w:val="18"/>
        </w:rPr>
        <w:t>4</w:t>
      </w:r>
      <w:r>
        <w:rPr>
          <w:rFonts w:ascii="Verdana" w:hAnsi="Verdana"/>
          <w:color w:val="000000"/>
          <w:sz w:val="18"/>
          <w:szCs w:val="18"/>
        </w:rPr>
        <w:t xml:space="preserve"> Special Education Events data submission must include all children for whom parental consent to evaluate was received on or after July 1, 202</w:t>
      </w:r>
      <w:r w:rsidR="00267496">
        <w:rPr>
          <w:rFonts w:ascii="Verdana" w:hAnsi="Verdana"/>
          <w:color w:val="000000"/>
          <w:sz w:val="18"/>
          <w:szCs w:val="18"/>
        </w:rPr>
        <w:t>3</w:t>
      </w:r>
      <w:r>
        <w:rPr>
          <w:rFonts w:ascii="Verdana" w:hAnsi="Verdana"/>
          <w:color w:val="000000"/>
          <w:sz w:val="18"/>
          <w:szCs w:val="18"/>
        </w:rPr>
        <w:t xml:space="preserve"> and who have completed the evaluation process and have all evaluation dates in the Special Education Events chain. This means that all events in the special ed events chain have been completed: CPSE01/CPSE02/CPSE03 and CSE01/CSE02/CSE03 and CSENP01/ CSENP02/ CSENP03/ CSENP04.</w:t>
      </w:r>
    </w:p>
    <w:p w14:paraId="5496B5FD" w14:textId="0875B589" w:rsidR="00EE74D8" w:rsidRDefault="00EE74D8" w:rsidP="00EE74D8">
      <w:pPr>
        <w:pStyle w:val="NormalWeb"/>
        <w:shd w:val="clear" w:color="auto" w:fill="FFFFFF"/>
        <w:spacing w:before="150" w:beforeAutospacing="0" w:line="252" w:lineRule="atLeast"/>
        <w:rPr>
          <w:rFonts w:ascii="Verdana" w:hAnsi="Verdana"/>
          <w:color w:val="000000"/>
          <w:sz w:val="18"/>
          <w:szCs w:val="18"/>
        </w:rPr>
      </w:pPr>
      <w:r>
        <w:rPr>
          <w:rFonts w:ascii="Verdana" w:hAnsi="Verdana"/>
          <w:b/>
          <w:bCs/>
          <w:color w:val="000000"/>
          <w:sz w:val="18"/>
          <w:szCs w:val="18"/>
        </w:rPr>
        <w:t>Please read and submit Part 2 of the VR11 assurance when the first submission of 202</w:t>
      </w:r>
      <w:r w:rsidR="009440A9">
        <w:rPr>
          <w:rFonts w:ascii="Verdana" w:hAnsi="Verdana"/>
          <w:b/>
          <w:bCs/>
          <w:color w:val="000000"/>
          <w:sz w:val="18"/>
          <w:szCs w:val="18"/>
        </w:rPr>
        <w:t>3</w:t>
      </w:r>
      <w:r>
        <w:rPr>
          <w:rFonts w:ascii="Verdana" w:hAnsi="Verdana"/>
          <w:b/>
          <w:bCs/>
          <w:color w:val="000000"/>
          <w:sz w:val="18"/>
          <w:szCs w:val="18"/>
        </w:rPr>
        <w:t>-2</w:t>
      </w:r>
      <w:r w:rsidR="009440A9">
        <w:rPr>
          <w:rFonts w:ascii="Verdana" w:hAnsi="Verdana"/>
          <w:b/>
          <w:bCs/>
          <w:color w:val="000000"/>
          <w:sz w:val="18"/>
          <w:szCs w:val="18"/>
        </w:rPr>
        <w:t>4</w:t>
      </w:r>
      <w:r>
        <w:rPr>
          <w:rFonts w:ascii="Verdana" w:hAnsi="Verdana"/>
          <w:b/>
          <w:bCs/>
          <w:color w:val="000000"/>
          <w:sz w:val="18"/>
          <w:szCs w:val="18"/>
        </w:rPr>
        <w:t xml:space="preserve"> Special Education Events data has been completed</w:t>
      </w:r>
      <w:r w:rsidR="00E73A29">
        <w:rPr>
          <w:rFonts w:ascii="Verdana" w:hAnsi="Verdana"/>
          <w:b/>
          <w:bCs/>
          <w:color w:val="000000"/>
          <w:sz w:val="18"/>
          <w:szCs w:val="18"/>
        </w:rPr>
        <w:t>.</w:t>
      </w:r>
    </w:p>
    <w:p w14:paraId="34D07B4F" w14:textId="77777777" w:rsidR="00EE74D8" w:rsidRDefault="00EE74D8" w:rsidP="00EE74D8">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Following NYSED review of a sample of records from this data submission, there can be three outcomes:</w:t>
      </w:r>
    </w:p>
    <w:p w14:paraId="3D175BB8" w14:textId="77777777" w:rsidR="00EE74D8" w:rsidRDefault="00EE74D8" w:rsidP="00EE74D8">
      <w:pPr>
        <w:numPr>
          <w:ilvl w:val="0"/>
          <w:numId w:val="7"/>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No noncompliance is identified. All students in the sample received an initial evaluation within 60 days of parental consent, or if the timeline exceeded 60 days, there is a reason that is considered to be in compliance with New York State requirements. When no noncompliance is found, this review will be used to verify that your school district is correctly implementing timely evaluation regulatory requirements.</w:t>
      </w:r>
    </w:p>
    <w:p w14:paraId="44266966" w14:textId="77777777" w:rsidR="00EE74D8" w:rsidRDefault="00EE74D8" w:rsidP="00EE74D8">
      <w:pPr>
        <w:numPr>
          <w:ilvl w:val="0"/>
          <w:numId w:val="7"/>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Noncompliance is identified. If any students in the sample did not receive an initial evaluation within 60 days of parental consent and there is a reason that is not considered to be in compliance with New York State requirements, your school district will be directed to complete the following action:</w:t>
      </w:r>
    </w:p>
    <w:p w14:paraId="10A659CE" w14:textId="5ED5355B" w:rsidR="00EE74D8" w:rsidRDefault="00EE74D8" w:rsidP="00EE74D8">
      <w:pPr>
        <w:numPr>
          <w:ilvl w:val="1"/>
          <w:numId w:val="7"/>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submit 202</w:t>
      </w:r>
      <w:r w:rsidR="009440A9">
        <w:rPr>
          <w:rFonts w:ascii="Verdana" w:hAnsi="Verdana"/>
          <w:color w:val="000000"/>
          <w:sz w:val="18"/>
          <w:szCs w:val="18"/>
        </w:rPr>
        <w:t>3</w:t>
      </w:r>
      <w:r>
        <w:rPr>
          <w:rFonts w:ascii="Verdana" w:hAnsi="Verdana"/>
          <w:color w:val="000000"/>
          <w:sz w:val="18"/>
          <w:szCs w:val="18"/>
        </w:rPr>
        <w:t>-2</w:t>
      </w:r>
      <w:r w:rsidR="009440A9">
        <w:rPr>
          <w:rFonts w:ascii="Verdana" w:hAnsi="Verdana"/>
          <w:color w:val="000000"/>
          <w:sz w:val="18"/>
          <w:szCs w:val="18"/>
        </w:rPr>
        <w:t>4</w:t>
      </w:r>
      <w:r>
        <w:rPr>
          <w:rFonts w:ascii="Verdana" w:hAnsi="Verdana"/>
          <w:color w:val="000000"/>
          <w:sz w:val="18"/>
          <w:szCs w:val="18"/>
        </w:rPr>
        <w:t xml:space="preserve"> Special Education Events data an additional time that includes all children for whom parental consent to evaluate was received on or after July 1, 202</w:t>
      </w:r>
      <w:r w:rsidR="009440A9">
        <w:rPr>
          <w:rFonts w:ascii="Verdana" w:hAnsi="Verdana"/>
          <w:color w:val="000000"/>
          <w:sz w:val="18"/>
          <w:szCs w:val="18"/>
        </w:rPr>
        <w:t>3</w:t>
      </w:r>
      <w:r>
        <w:rPr>
          <w:rFonts w:ascii="Verdana" w:hAnsi="Verdana"/>
          <w:color w:val="000000"/>
          <w:sz w:val="18"/>
          <w:szCs w:val="18"/>
        </w:rPr>
        <w:t xml:space="preserve"> and who have completed the evaluation process and have all evaluation dates in the Special Education Events chain. See below for information on the additional submission.</w:t>
      </w:r>
    </w:p>
    <w:p w14:paraId="58CFEEF4" w14:textId="6E0F8E0D" w:rsidR="00EE74D8" w:rsidRDefault="00EE74D8" w:rsidP="00EE74D8">
      <w:pPr>
        <w:numPr>
          <w:ilvl w:val="0"/>
          <w:numId w:val="7"/>
        </w:numPr>
        <w:shd w:val="clear" w:color="auto" w:fill="FFFFFF"/>
        <w:spacing w:before="100" w:beforeAutospacing="1" w:after="100" w:afterAutospacing="1" w:line="252" w:lineRule="atLeast"/>
        <w:rPr>
          <w:rFonts w:ascii="Verdana" w:hAnsi="Verdana"/>
          <w:color w:val="000000"/>
          <w:sz w:val="18"/>
          <w:szCs w:val="18"/>
        </w:rPr>
      </w:pPr>
      <w:r>
        <w:rPr>
          <w:rFonts w:ascii="Verdana" w:hAnsi="Verdana"/>
          <w:color w:val="000000"/>
          <w:sz w:val="18"/>
          <w:szCs w:val="18"/>
        </w:rPr>
        <w:t>There are insufficient records for review. In this case, your district must submit additional 202</w:t>
      </w:r>
      <w:r w:rsidR="009440A9">
        <w:rPr>
          <w:rFonts w:ascii="Verdana" w:hAnsi="Verdana"/>
          <w:color w:val="000000"/>
          <w:sz w:val="18"/>
          <w:szCs w:val="18"/>
        </w:rPr>
        <w:t>3</w:t>
      </w:r>
      <w:r>
        <w:rPr>
          <w:rFonts w:ascii="Verdana" w:hAnsi="Verdana"/>
          <w:color w:val="000000"/>
          <w:sz w:val="18"/>
          <w:szCs w:val="18"/>
        </w:rPr>
        <w:t>-2</w:t>
      </w:r>
      <w:r w:rsidR="009440A9">
        <w:rPr>
          <w:rFonts w:ascii="Verdana" w:hAnsi="Verdana"/>
          <w:color w:val="000000"/>
          <w:sz w:val="18"/>
          <w:szCs w:val="18"/>
        </w:rPr>
        <w:t>4</w:t>
      </w:r>
      <w:r>
        <w:rPr>
          <w:rFonts w:ascii="Verdana" w:hAnsi="Verdana"/>
          <w:color w:val="000000"/>
          <w:sz w:val="18"/>
          <w:szCs w:val="18"/>
        </w:rPr>
        <w:t xml:space="preserve"> Special Education Events data that includes all children for whom parental consent to evaluate was received on or after July 1, 202</w:t>
      </w:r>
      <w:r w:rsidR="009440A9">
        <w:rPr>
          <w:rFonts w:ascii="Verdana" w:hAnsi="Verdana"/>
          <w:color w:val="000000"/>
          <w:sz w:val="18"/>
          <w:szCs w:val="18"/>
        </w:rPr>
        <w:t>3</w:t>
      </w:r>
      <w:r>
        <w:rPr>
          <w:rFonts w:ascii="Verdana" w:hAnsi="Verdana"/>
          <w:color w:val="000000"/>
          <w:sz w:val="18"/>
          <w:szCs w:val="18"/>
        </w:rPr>
        <w:t xml:space="preserve"> and who have completed the evaluation process and have all evaluation dates in the Special Education Events chain. See below for information on the additional submission.</w:t>
      </w:r>
    </w:p>
    <w:p w14:paraId="3C0EEC8B" w14:textId="77777777" w:rsidR="00EE74D8" w:rsidRPr="0090090E" w:rsidRDefault="00EE74D8" w:rsidP="00EE74D8">
      <w:pPr>
        <w:pStyle w:val="Heading4"/>
        <w:shd w:val="clear" w:color="auto" w:fill="FFFFFF"/>
        <w:spacing w:before="15" w:after="15"/>
        <w:ind w:left="15" w:right="15"/>
        <w:rPr>
          <w:rFonts w:ascii="Verdana" w:hAnsi="Verdana"/>
          <w:sz w:val="18"/>
          <w:szCs w:val="18"/>
        </w:rPr>
      </w:pPr>
      <w:r w:rsidRPr="0090090E">
        <w:rPr>
          <w:rFonts w:ascii="Verdana" w:hAnsi="Verdana"/>
          <w:sz w:val="18"/>
          <w:szCs w:val="18"/>
        </w:rPr>
        <w:t>Additional Data Submission</w:t>
      </w:r>
    </w:p>
    <w:p w14:paraId="23956B89" w14:textId="34718E46" w:rsidR="00EE74D8" w:rsidRDefault="00EE74D8" w:rsidP="00EE74D8">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If applicable, the additional submission must include students for whom parental consent to evaluate was received on or after July 1, 202</w:t>
      </w:r>
      <w:r w:rsidR="009440A9">
        <w:rPr>
          <w:rFonts w:ascii="Verdana" w:hAnsi="Verdana"/>
          <w:color w:val="000000"/>
          <w:sz w:val="18"/>
          <w:szCs w:val="18"/>
        </w:rPr>
        <w:t>3</w:t>
      </w:r>
      <w:r>
        <w:rPr>
          <w:rFonts w:ascii="Verdana" w:hAnsi="Verdana"/>
          <w:color w:val="000000"/>
          <w:sz w:val="18"/>
          <w:szCs w:val="18"/>
        </w:rPr>
        <w:t xml:space="preserve"> and who have completed the evaluation process and have all evaluation dates in the Special Education Events chain. This submission will include children from the first submission with updated events, as applicable, and additional children who were referred for evaluation after the first submission. The updated events data will be reviewed to verify the correct implementation of timely evaluation regulatory requirements. Following review of a sample of records from this data submission, if no noncompliance is identified (i.e., all students in the sample received an initial evaluation within 60 days of parental consent, or if the timeline exceeded 60 days, there is a reason that is considered to be in compliance with New York State requirements.), this review will be used to verify that your school district is correctly implementing timely evaluation regulatory requirements. If no children (preschool and school age) were referred for initial evaluation for special education programs and services during the 202</w:t>
      </w:r>
      <w:r w:rsidR="009440A9">
        <w:rPr>
          <w:rFonts w:ascii="Verdana" w:hAnsi="Verdana"/>
          <w:color w:val="000000"/>
          <w:sz w:val="18"/>
          <w:szCs w:val="18"/>
        </w:rPr>
        <w:t>3</w:t>
      </w:r>
      <w:r>
        <w:rPr>
          <w:rFonts w:ascii="Verdana" w:hAnsi="Verdana"/>
          <w:color w:val="000000"/>
          <w:sz w:val="18"/>
          <w:szCs w:val="18"/>
        </w:rPr>
        <w:t>-2</w:t>
      </w:r>
      <w:r w:rsidR="009440A9">
        <w:rPr>
          <w:rFonts w:ascii="Verdana" w:hAnsi="Verdana"/>
          <w:color w:val="000000"/>
          <w:sz w:val="18"/>
          <w:szCs w:val="18"/>
        </w:rPr>
        <w:t>4</w:t>
      </w:r>
      <w:r>
        <w:rPr>
          <w:rFonts w:ascii="Verdana" w:hAnsi="Verdana"/>
          <w:color w:val="000000"/>
          <w:sz w:val="18"/>
          <w:szCs w:val="18"/>
        </w:rPr>
        <w:t xml:space="preserve"> school year, your school district will be directed to submit a Superintendent's certification to this effect.</w:t>
      </w:r>
    </w:p>
    <w:p w14:paraId="40F07B16" w14:textId="472EC399" w:rsidR="00927F9A" w:rsidRDefault="00EE74D8" w:rsidP="00927F9A">
      <w:pPr>
        <w:pStyle w:val="NormalWeb"/>
        <w:shd w:val="clear" w:color="auto" w:fill="FFFFFF"/>
        <w:spacing w:before="150" w:beforeAutospacing="0" w:line="252" w:lineRule="atLeast"/>
        <w:rPr>
          <w:rFonts w:ascii="Verdana" w:hAnsi="Verdana"/>
          <w:color w:val="000000"/>
          <w:sz w:val="18"/>
          <w:szCs w:val="18"/>
        </w:rPr>
      </w:pPr>
      <w:r>
        <w:rPr>
          <w:rFonts w:ascii="Verdana" w:hAnsi="Verdana"/>
          <w:color w:val="000000"/>
          <w:sz w:val="18"/>
          <w:szCs w:val="18"/>
        </w:rPr>
        <w:t xml:space="preserve">Verification that your school district has resolved all individual cases of identified noncompliance and is correctly implementing timely evaluation regulatory requirements will result in a notification that the </w:t>
      </w:r>
      <w:r>
        <w:rPr>
          <w:rFonts w:ascii="Verdana" w:hAnsi="Verdana"/>
          <w:color w:val="000000"/>
          <w:sz w:val="18"/>
          <w:szCs w:val="18"/>
        </w:rPr>
        <w:lastRenderedPageBreak/>
        <w:t>school district has corrected the 202</w:t>
      </w:r>
      <w:r w:rsidR="009440A9">
        <w:rPr>
          <w:rFonts w:ascii="Verdana" w:hAnsi="Verdana"/>
          <w:color w:val="000000"/>
          <w:sz w:val="18"/>
          <w:szCs w:val="18"/>
        </w:rPr>
        <w:t>2</w:t>
      </w:r>
      <w:r>
        <w:rPr>
          <w:rFonts w:ascii="Verdana" w:hAnsi="Verdana"/>
          <w:color w:val="000000"/>
          <w:sz w:val="18"/>
          <w:szCs w:val="18"/>
        </w:rPr>
        <w:t>-2</w:t>
      </w:r>
      <w:r w:rsidR="009440A9">
        <w:rPr>
          <w:rFonts w:ascii="Verdana" w:hAnsi="Verdana"/>
          <w:color w:val="000000"/>
          <w:sz w:val="18"/>
          <w:szCs w:val="18"/>
        </w:rPr>
        <w:t>3</w:t>
      </w:r>
      <w:r>
        <w:rPr>
          <w:rFonts w:ascii="Verdana" w:hAnsi="Verdana"/>
          <w:color w:val="000000"/>
          <w:sz w:val="18"/>
          <w:szCs w:val="18"/>
        </w:rPr>
        <w:t xml:space="preserve"> SPP Indicator 11 timely evaluation findings of noncompliance. If any individual cases of identified noncompliance are not verified as resolved, or review of subsequent data does not demonstrate the correct implementation of regulatory requirements, the school district will be identified as having longstanding noncompliance with timely evaluation requirements, a compliance assurance plan will be issued, and your school district will be required to continue to report Special Education Events data for the 2024</w:t>
      </w:r>
      <w:r w:rsidR="00927F9A">
        <w:rPr>
          <w:rFonts w:ascii="Verdana" w:hAnsi="Verdana"/>
          <w:color w:val="000000"/>
          <w:sz w:val="18"/>
          <w:szCs w:val="18"/>
        </w:rPr>
        <w:t>-2025</w:t>
      </w:r>
      <w:r>
        <w:rPr>
          <w:rFonts w:ascii="Verdana" w:hAnsi="Verdana"/>
          <w:color w:val="000000"/>
          <w:sz w:val="18"/>
          <w:szCs w:val="18"/>
        </w:rPr>
        <w:t xml:space="preserve"> school year.</w:t>
      </w:r>
    </w:p>
    <w:p w14:paraId="5DF56CD3" w14:textId="77777777" w:rsidR="00F872B7" w:rsidRPr="00672AD1" w:rsidRDefault="00F872B7" w:rsidP="00F872B7">
      <w:pPr>
        <w:rPr>
          <w:rFonts w:ascii="Verdana" w:hAnsi="Verdana"/>
          <w:sz w:val="18"/>
          <w:szCs w:val="18"/>
        </w:rPr>
      </w:pPr>
    </w:p>
    <w:sectPr w:rsidR="00F872B7" w:rsidRPr="00672AD1" w:rsidSect="0090090E">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946B" w14:textId="77777777" w:rsidR="00797CB6" w:rsidRDefault="00797CB6" w:rsidP="00531B52">
      <w:r>
        <w:separator/>
      </w:r>
    </w:p>
  </w:endnote>
  <w:endnote w:type="continuationSeparator" w:id="0">
    <w:p w14:paraId="2DAC987C" w14:textId="77777777" w:rsidR="00797CB6" w:rsidRDefault="00797CB6" w:rsidP="00531B52">
      <w:r>
        <w:continuationSeparator/>
      </w:r>
    </w:p>
  </w:endnote>
  <w:endnote w:type="continuationNotice" w:id="1">
    <w:p w14:paraId="5138DDAB" w14:textId="77777777" w:rsidR="00797CB6" w:rsidRDefault="0079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panose1 w:val="020E0602030304020304"/>
    <w:charset w:val="00"/>
    <w:family w:val="swiss"/>
    <w:pitch w:val="variable"/>
    <w:sig w:usb0="00000207" w:usb1="00000000" w:usb2="00000000" w:usb3="00000000" w:csb0="0000009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ECA0"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62F9"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2E9"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F92D" w14:textId="77777777" w:rsidR="00797CB6" w:rsidRDefault="00797CB6" w:rsidP="00531B52">
      <w:r>
        <w:separator/>
      </w:r>
    </w:p>
  </w:footnote>
  <w:footnote w:type="continuationSeparator" w:id="0">
    <w:p w14:paraId="3BD8B8E5" w14:textId="77777777" w:rsidR="00797CB6" w:rsidRDefault="00797CB6" w:rsidP="00531B52">
      <w:r>
        <w:continuationSeparator/>
      </w:r>
    </w:p>
  </w:footnote>
  <w:footnote w:type="continuationNotice" w:id="1">
    <w:p w14:paraId="3D90BE3D" w14:textId="77777777" w:rsidR="00797CB6" w:rsidRDefault="00797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4988"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9AD1"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481E"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7FA7"/>
    <w:multiLevelType w:val="multilevel"/>
    <w:tmpl w:val="062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1209E"/>
    <w:multiLevelType w:val="multilevel"/>
    <w:tmpl w:val="0DB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B3B9D"/>
    <w:multiLevelType w:val="hybridMultilevel"/>
    <w:tmpl w:val="831E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C192B"/>
    <w:multiLevelType w:val="multilevel"/>
    <w:tmpl w:val="7F5E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56552"/>
    <w:multiLevelType w:val="hybridMultilevel"/>
    <w:tmpl w:val="6F2A3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5C6178"/>
    <w:multiLevelType w:val="hybridMultilevel"/>
    <w:tmpl w:val="017AE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C514C"/>
    <w:multiLevelType w:val="multilevel"/>
    <w:tmpl w:val="4E8A5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9506222">
    <w:abstractNumId w:val="3"/>
  </w:num>
  <w:num w:numId="2" w16cid:durableId="993529800">
    <w:abstractNumId w:val="0"/>
  </w:num>
  <w:num w:numId="3" w16cid:durableId="1366054413">
    <w:abstractNumId w:val="2"/>
  </w:num>
  <w:num w:numId="4" w16cid:durableId="1579441844">
    <w:abstractNumId w:val="4"/>
  </w:num>
  <w:num w:numId="5" w16cid:durableId="921993063">
    <w:abstractNumId w:val="5"/>
  </w:num>
  <w:num w:numId="6" w16cid:durableId="351535870">
    <w:abstractNumId w:val="1"/>
  </w:num>
  <w:num w:numId="7" w16cid:durableId="2134515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7"/>
    <w:rsid w:val="00000689"/>
    <w:rsid w:val="00010CED"/>
    <w:rsid w:val="00035C69"/>
    <w:rsid w:val="00041A88"/>
    <w:rsid w:val="0004558F"/>
    <w:rsid w:val="00045DC4"/>
    <w:rsid w:val="000558C8"/>
    <w:rsid w:val="0007193D"/>
    <w:rsid w:val="00081A97"/>
    <w:rsid w:val="00081D79"/>
    <w:rsid w:val="00084297"/>
    <w:rsid w:val="00086EBF"/>
    <w:rsid w:val="000962D3"/>
    <w:rsid w:val="0009794D"/>
    <w:rsid w:val="000A0543"/>
    <w:rsid w:val="000C114E"/>
    <w:rsid w:val="000C1DF9"/>
    <w:rsid w:val="000C3105"/>
    <w:rsid w:val="000C640D"/>
    <w:rsid w:val="000C7E16"/>
    <w:rsid w:val="000E1B9D"/>
    <w:rsid w:val="000E1FEE"/>
    <w:rsid w:val="000E2C97"/>
    <w:rsid w:val="000F2026"/>
    <w:rsid w:val="000F3D51"/>
    <w:rsid w:val="00122CAA"/>
    <w:rsid w:val="00146742"/>
    <w:rsid w:val="0016141E"/>
    <w:rsid w:val="00173079"/>
    <w:rsid w:val="00183C3A"/>
    <w:rsid w:val="00192CC7"/>
    <w:rsid w:val="001A3BA5"/>
    <w:rsid w:val="001B4B6B"/>
    <w:rsid w:val="001D174A"/>
    <w:rsid w:val="001D76AC"/>
    <w:rsid w:val="001E74F3"/>
    <w:rsid w:val="001F0ABA"/>
    <w:rsid w:val="00205CD3"/>
    <w:rsid w:val="00227834"/>
    <w:rsid w:val="002322E4"/>
    <w:rsid w:val="00234B77"/>
    <w:rsid w:val="00243DC8"/>
    <w:rsid w:val="0024538A"/>
    <w:rsid w:val="00245F82"/>
    <w:rsid w:val="0025187A"/>
    <w:rsid w:val="00254E25"/>
    <w:rsid w:val="0026128D"/>
    <w:rsid w:val="00267496"/>
    <w:rsid w:val="002729F2"/>
    <w:rsid w:val="002911E6"/>
    <w:rsid w:val="002915CF"/>
    <w:rsid w:val="002B2721"/>
    <w:rsid w:val="002B72EB"/>
    <w:rsid w:val="002C1858"/>
    <w:rsid w:val="002C1C26"/>
    <w:rsid w:val="002C6076"/>
    <w:rsid w:val="002D3D78"/>
    <w:rsid w:val="002D5471"/>
    <w:rsid w:val="002D7E3A"/>
    <w:rsid w:val="002E332C"/>
    <w:rsid w:val="002F0DED"/>
    <w:rsid w:val="002F1CDD"/>
    <w:rsid w:val="002F2C9A"/>
    <w:rsid w:val="00300BE2"/>
    <w:rsid w:val="00305FFA"/>
    <w:rsid w:val="003139FD"/>
    <w:rsid w:val="00313A09"/>
    <w:rsid w:val="00314B57"/>
    <w:rsid w:val="0032312C"/>
    <w:rsid w:val="0032447F"/>
    <w:rsid w:val="00327C23"/>
    <w:rsid w:val="00343E0D"/>
    <w:rsid w:val="00355466"/>
    <w:rsid w:val="0035790D"/>
    <w:rsid w:val="00373B00"/>
    <w:rsid w:val="003774A0"/>
    <w:rsid w:val="00380FF9"/>
    <w:rsid w:val="0038354E"/>
    <w:rsid w:val="003907FC"/>
    <w:rsid w:val="003A30D7"/>
    <w:rsid w:val="003A3BAB"/>
    <w:rsid w:val="003A5347"/>
    <w:rsid w:val="003B2BEB"/>
    <w:rsid w:val="003C22FC"/>
    <w:rsid w:val="003C6BD5"/>
    <w:rsid w:val="003D4069"/>
    <w:rsid w:val="003D5229"/>
    <w:rsid w:val="003E16B0"/>
    <w:rsid w:val="003F49C0"/>
    <w:rsid w:val="00400C7E"/>
    <w:rsid w:val="00401204"/>
    <w:rsid w:val="00424928"/>
    <w:rsid w:val="0042501E"/>
    <w:rsid w:val="00427CD4"/>
    <w:rsid w:val="00456B12"/>
    <w:rsid w:val="00456D1B"/>
    <w:rsid w:val="00461A2F"/>
    <w:rsid w:val="004633AB"/>
    <w:rsid w:val="00483374"/>
    <w:rsid w:val="00490C12"/>
    <w:rsid w:val="00492BD4"/>
    <w:rsid w:val="004964E8"/>
    <w:rsid w:val="00497563"/>
    <w:rsid w:val="004A7553"/>
    <w:rsid w:val="004A7DCD"/>
    <w:rsid w:val="004B0F6A"/>
    <w:rsid w:val="004D4E85"/>
    <w:rsid w:val="004E1ADE"/>
    <w:rsid w:val="004E5FC2"/>
    <w:rsid w:val="004F1BE3"/>
    <w:rsid w:val="004F20BB"/>
    <w:rsid w:val="004F454B"/>
    <w:rsid w:val="00505FC6"/>
    <w:rsid w:val="00513554"/>
    <w:rsid w:val="00515A83"/>
    <w:rsid w:val="00520749"/>
    <w:rsid w:val="00523BE1"/>
    <w:rsid w:val="00531B52"/>
    <w:rsid w:val="0054265C"/>
    <w:rsid w:val="00550E89"/>
    <w:rsid w:val="00555372"/>
    <w:rsid w:val="0056768D"/>
    <w:rsid w:val="00573C73"/>
    <w:rsid w:val="00576CA2"/>
    <w:rsid w:val="005902CA"/>
    <w:rsid w:val="00594B9A"/>
    <w:rsid w:val="005A246A"/>
    <w:rsid w:val="005A30CC"/>
    <w:rsid w:val="005A44DE"/>
    <w:rsid w:val="005A7002"/>
    <w:rsid w:val="005C2202"/>
    <w:rsid w:val="005D1387"/>
    <w:rsid w:val="005D4B11"/>
    <w:rsid w:val="005D5F2A"/>
    <w:rsid w:val="005E35FA"/>
    <w:rsid w:val="005F2B8F"/>
    <w:rsid w:val="005F602B"/>
    <w:rsid w:val="00602339"/>
    <w:rsid w:val="0061497F"/>
    <w:rsid w:val="00614A0D"/>
    <w:rsid w:val="00622E08"/>
    <w:rsid w:val="00630FA9"/>
    <w:rsid w:val="00634F38"/>
    <w:rsid w:val="00653846"/>
    <w:rsid w:val="0065619D"/>
    <w:rsid w:val="006619A4"/>
    <w:rsid w:val="006628FA"/>
    <w:rsid w:val="00665EFD"/>
    <w:rsid w:val="00672AD1"/>
    <w:rsid w:val="006811B4"/>
    <w:rsid w:val="006838FE"/>
    <w:rsid w:val="0069162F"/>
    <w:rsid w:val="006A3816"/>
    <w:rsid w:val="006B51E5"/>
    <w:rsid w:val="006C30C6"/>
    <w:rsid w:val="006C4B55"/>
    <w:rsid w:val="006C7ACE"/>
    <w:rsid w:val="006C7AF9"/>
    <w:rsid w:val="006E4924"/>
    <w:rsid w:val="006F4996"/>
    <w:rsid w:val="00702569"/>
    <w:rsid w:val="0071326E"/>
    <w:rsid w:val="007176B3"/>
    <w:rsid w:val="0071770B"/>
    <w:rsid w:val="00723486"/>
    <w:rsid w:val="0072578A"/>
    <w:rsid w:val="00737E57"/>
    <w:rsid w:val="0074355E"/>
    <w:rsid w:val="0074383C"/>
    <w:rsid w:val="0075432B"/>
    <w:rsid w:val="00757C25"/>
    <w:rsid w:val="00761C90"/>
    <w:rsid w:val="0076640A"/>
    <w:rsid w:val="007719CE"/>
    <w:rsid w:val="00772C86"/>
    <w:rsid w:val="00776383"/>
    <w:rsid w:val="007767C2"/>
    <w:rsid w:val="00795D2A"/>
    <w:rsid w:val="00797CB6"/>
    <w:rsid w:val="007A77AB"/>
    <w:rsid w:val="007C06DE"/>
    <w:rsid w:val="007C1238"/>
    <w:rsid w:val="007D5624"/>
    <w:rsid w:val="007E6795"/>
    <w:rsid w:val="00812E04"/>
    <w:rsid w:val="008145B0"/>
    <w:rsid w:val="0082235E"/>
    <w:rsid w:val="0082524A"/>
    <w:rsid w:val="00835B40"/>
    <w:rsid w:val="0084086B"/>
    <w:rsid w:val="008440DE"/>
    <w:rsid w:val="008471E2"/>
    <w:rsid w:val="00852B9A"/>
    <w:rsid w:val="00856BF8"/>
    <w:rsid w:val="00874B96"/>
    <w:rsid w:val="008827C6"/>
    <w:rsid w:val="00882B7A"/>
    <w:rsid w:val="0088605C"/>
    <w:rsid w:val="008A5C77"/>
    <w:rsid w:val="008B4062"/>
    <w:rsid w:val="008B49AA"/>
    <w:rsid w:val="008B7A7B"/>
    <w:rsid w:val="008C1310"/>
    <w:rsid w:val="008C6116"/>
    <w:rsid w:val="008D21F7"/>
    <w:rsid w:val="008E105E"/>
    <w:rsid w:val="008F1BAB"/>
    <w:rsid w:val="0090090E"/>
    <w:rsid w:val="0090165D"/>
    <w:rsid w:val="00927F9A"/>
    <w:rsid w:val="009348D6"/>
    <w:rsid w:val="00935086"/>
    <w:rsid w:val="009367E6"/>
    <w:rsid w:val="009408EE"/>
    <w:rsid w:val="00940F2D"/>
    <w:rsid w:val="009440A9"/>
    <w:rsid w:val="00953B5D"/>
    <w:rsid w:val="00967595"/>
    <w:rsid w:val="00967838"/>
    <w:rsid w:val="00967898"/>
    <w:rsid w:val="0097399D"/>
    <w:rsid w:val="0098165E"/>
    <w:rsid w:val="00982E6C"/>
    <w:rsid w:val="00990589"/>
    <w:rsid w:val="009A1C10"/>
    <w:rsid w:val="009C265D"/>
    <w:rsid w:val="009C73F7"/>
    <w:rsid w:val="009D40D7"/>
    <w:rsid w:val="009E033A"/>
    <w:rsid w:val="009E0438"/>
    <w:rsid w:val="009E46E6"/>
    <w:rsid w:val="009F38B5"/>
    <w:rsid w:val="00A023D6"/>
    <w:rsid w:val="00A22BF1"/>
    <w:rsid w:val="00A26FA6"/>
    <w:rsid w:val="00A353D3"/>
    <w:rsid w:val="00A36449"/>
    <w:rsid w:val="00A433C6"/>
    <w:rsid w:val="00A61384"/>
    <w:rsid w:val="00A711BF"/>
    <w:rsid w:val="00A71756"/>
    <w:rsid w:val="00A8227B"/>
    <w:rsid w:val="00A912AF"/>
    <w:rsid w:val="00A9255A"/>
    <w:rsid w:val="00A97CFA"/>
    <w:rsid w:val="00AA0383"/>
    <w:rsid w:val="00AA1458"/>
    <w:rsid w:val="00AA3080"/>
    <w:rsid w:val="00AA7471"/>
    <w:rsid w:val="00AB03C8"/>
    <w:rsid w:val="00AB2228"/>
    <w:rsid w:val="00AB6D84"/>
    <w:rsid w:val="00AC60D7"/>
    <w:rsid w:val="00AD32EB"/>
    <w:rsid w:val="00AF5327"/>
    <w:rsid w:val="00AF6753"/>
    <w:rsid w:val="00B04B1C"/>
    <w:rsid w:val="00B073C7"/>
    <w:rsid w:val="00B173EC"/>
    <w:rsid w:val="00B466FB"/>
    <w:rsid w:val="00B50342"/>
    <w:rsid w:val="00B77006"/>
    <w:rsid w:val="00B77B08"/>
    <w:rsid w:val="00B84AA1"/>
    <w:rsid w:val="00BA5734"/>
    <w:rsid w:val="00BB24E2"/>
    <w:rsid w:val="00BB784A"/>
    <w:rsid w:val="00BC5929"/>
    <w:rsid w:val="00BD738C"/>
    <w:rsid w:val="00BE50C0"/>
    <w:rsid w:val="00BE5DCB"/>
    <w:rsid w:val="00BF6274"/>
    <w:rsid w:val="00C07298"/>
    <w:rsid w:val="00C270FB"/>
    <w:rsid w:val="00C33B5B"/>
    <w:rsid w:val="00C57C74"/>
    <w:rsid w:val="00C739F9"/>
    <w:rsid w:val="00C75BF0"/>
    <w:rsid w:val="00C779C2"/>
    <w:rsid w:val="00C80106"/>
    <w:rsid w:val="00C815D8"/>
    <w:rsid w:val="00C81FDA"/>
    <w:rsid w:val="00C90AB5"/>
    <w:rsid w:val="00C95284"/>
    <w:rsid w:val="00C95AC1"/>
    <w:rsid w:val="00CA2433"/>
    <w:rsid w:val="00CA5769"/>
    <w:rsid w:val="00CB024D"/>
    <w:rsid w:val="00CB1F76"/>
    <w:rsid w:val="00CB20C3"/>
    <w:rsid w:val="00CC24DA"/>
    <w:rsid w:val="00CC7DB1"/>
    <w:rsid w:val="00CE3BD9"/>
    <w:rsid w:val="00CF0D27"/>
    <w:rsid w:val="00D114BB"/>
    <w:rsid w:val="00D271A2"/>
    <w:rsid w:val="00D36345"/>
    <w:rsid w:val="00D503A7"/>
    <w:rsid w:val="00D53FA4"/>
    <w:rsid w:val="00D5631D"/>
    <w:rsid w:val="00D5723F"/>
    <w:rsid w:val="00D57308"/>
    <w:rsid w:val="00D63EEB"/>
    <w:rsid w:val="00D679FA"/>
    <w:rsid w:val="00D7143E"/>
    <w:rsid w:val="00D72677"/>
    <w:rsid w:val="00D81F50"/>
    <w:rsid w:val="00D87B15"/>
    <w:rsid w:val="00D91426"/>
    <w:rsid w:val="00D94127"/>
    <w:rsid w:val="00D96000"/>
    <w:rsid w:val="00DA07BB"/>
    <w:rsid w:val="00DA1E3C"/>
    <w:rsid w:val="00DB67F8"/>
    <w:rsid w:val="00DE5B6E"/>
    <w:rsid w:val="00DF00B8"/>
    <w:rsid w:val="00DF3253"/>
    <w:rsid w:val="00DF4C2A"/>
    <w:rsid w:val="00E175E4"/>
    <w:rsid w:val="00E24752"/>
    <w:rsid w:val="00E26889"/>
    <w:rsid w:val="00E43D65"/>
    <w:rsid w:val="00E525F1"/>
    <w:rsid w:val="00E70CF7"/>
    <w:rsid w:val="00E73A29"/>
    <w:rsid w:val="00E75207"/>
    <w:rsid w:val="00E768A2"/>
    <w:rsid w:val="00E76D98"/>
    <w:rsid w:val="00EA02F9"/>
    <w:rsid w:val="00EB5F02"/>
    <w:rsid w:val="00EC0FC2"/>
    <w:rsid w:val="00EC46DC"/>
    <w:rsid w:val="00EC4A04"/>
    <w:rsid w:val="00EE3B58"/>
    <w:rsid w:val="00EE74D8"/>
    <w:rsid w:val="00F208B7"/>
    <w:rsid w:val="00F32C44"/>
    <w:rsid w:val="00F37C1F"/>
    <w:rsid w:val="00F417C2"/>
    <w:rsid w:val="00F47EB1"/>
    <w:rsid w:val="00F50E1E"/>
    <w:rsid w:val="00F53572"/>
    <w:rsid w:val="00F57695"/>
    <w:rsid w:val="00F835A5"/>
    <w:rsid w:val="00F84094"/>
    <w:rsid w:val="00F872B7"/>
    <w:rsid w:val="00F92802"/>
    <w:rsid w:val="00F9535B"/>
    <w:rsid w:val="00FA5582"/>
    <w:rsid w:val="00FB4FFD"/>
    <w:rsid w:val="00FC6C3D"/>
    <w:rsid w:val="00FD14DA"/>
    <w:rsid w:val="00FE11DF"/>
    <w:rsid w:val="62E6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D0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F872B7"/>
    <w:rPr>
      <w:color w:val="0000FF"/>
      <w:u w:val="single"/>
    </w:rPr>
  </w:style>
  <w:style w:type="paragraph" w:styleId="NormalWeb">
    <w:name w:val="Normal (Web)"/>
    <w:basedOn w:val="Normal"/>
    <w:uiPriority w:val="99"/>
    <w:unhideWhenUsed/>
    <w:rsid w:val="00F872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0FC2"/>
    <w:pPr>
      <w:ind w:left="720"/>
      <w:contextualSpacing/>
    </w:pPr>
  </w:style>
  <w:style w:type="character" w:styleId="CommentReference">
    <w:name w:val="annotation reference"/>
    <w:basedOn w:val="DefaultParagraphFont"/>
    <w:uiPriority w:val="99"/>
    <w:semiHidden/>
    <w:unhideWhenUsed/>
    <w:rsid w:val="005A44DE"/>
    <w:rPr>
      <w:sz w:val="16"/>
      <w:szCs w:val="16"/>
    </w:rPr>
  </w:style>
  <w:style w:type="paragraph" w:styleId="CommentText">
    <w:name w:val="annotation text"/>
    <w:basedOn w:val="Normal"/>
    <w:link w:val="CommentTextChar"/>
    <w:uiPriority w:val="99"/>
    <w:unhideWhenUsed/>
    <w:rsid w:val="005A44DE"/>
    <w:rPr>
      <w:sz w:val="20"/>
      <w:szCs w:val="20"/>
    </w:rPr>
  </w:style>
  <w:style w:type="character" w:customStyle="1" w:styleId="CommentTextChar">
    <w:name w:val="Comment Text Char"/>
    <w:basedOn w:val="DefaultParagraphFont"/>
    <w:link w:val="CommentText"/>
    <w:uiPriority w:val="99"/>
    <w:rsid w:val="005A44DE"/>
    <w:rPr>
      <w:sz w:val="20"/>
      <w:szCs w:val="20"/>
    </w:rPr>
  </w:style>
  <w:style w:type="paragraph" w:styleId="CommentSubject">
    <w:name w:val="annotation subject"/>
    <w:basedOn w:val="CommentText"/>
    <w:next w:val="CommentText"/>
    <w:link w:val="CommentSubjectChar"/>
    <w:uiPriority w:val="99"/>
    <w:semiHidden/>
    <w:unhideWhenUsed/>
    <w:rsid w:val="005A44DE"/>
    <w:rPr>
      <w:b/>
      <w:bCs/>
    </w:rPr>
  </w:style>
  <w:style w:type="character" w:customStyle="1" w:styleId="CommentSubjectChar">
    <w:name w:val="Comment Subject Char"/>
    <w:basedOn w:val="CommentTextChar"/>
    <w:link w:val="CommentSubject"/>
    <w:uiPriority w:val="99"/>
    <w:semiHidden/>
    <w:rsid w:val="005A44DE"/>
    <w:rPr>
      <w:b/>
      <w:bCs/>
      <w:sz w:val="20"/>
      <w:szCs w:val="20"/>
    </w:rPr>
  </w:style>
  <w:style w:type="paragraph" w:styleId="Revision">
    <w:name w:val="Revision"/>
    <w:hidden/>
    <w:uiPriority w:val="99"/>
    <w:semiHidden/>
    <w:rsid w:val="007C1238"/>
  </w:style>
  <w:style w:type="character" w:styleId="FollowedHyperlink">
    <w:name w:val="FollowedHyperlink"/>
    <w:basedOn w:val="DefaultParagraphFont"/>
    <w:uiPriority w:val="99"/>
    <w:semiHidden/>
    <w:unhideWhenUsed/>
    <w:rsid w:val="00967898"/>
    <w:rPr>
      <w:color w:val="800080" w:themeColor="followedHyperlink"/>
      <w:u w:val="single"/>
    </w:rPr>
  </w:style>
  <w:style w:type="character" w:styleId="UnresolvedMention">
    <w:name w:val="Unresolved Mention"/>
    <w:basedOn w:val="DefaultParagraphFont"/>
    <w:uiPriority w:val="99"/>
    <w:semiHidden/>
    <w:unhideWhenUsed/>
    <w:rsid w:val="00573C73"/>
    <w:rPr>
      <w:color w:val="605E5C"/>
      <w:shd w:val="clear" w:color="auto" w:fill="E1DFDD"/>
    </w:rPr>
  </w:style>
  <w:style w:type="paragraph" w:customStyle="1" w:styleId="directions">
    <w:name w:val="directions"/>
    <w:basedOn w:val="Normal"/>
    <w:rsid w:val="00EE74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141">
      <w:bodyDiv w:val="1"/>
      <w:marLeft w:val="0"/>
      <w:marRight w:val="0"/>
      <w:marTop w:val="0"/>
      <w:marBottom w:val="0"/>
      <w:divBdr>
        <w:top w:val="none" w:sz="0" w:space="0" w:color="auto"/>
        <w:left w:val="none" w:sz="0" w:space="0" w:color="auto"/>
        <w:bottom w:val="none" w:sz="0" w:space="0" w:color="auto"/>
        <w:right w:val="none" w:sz="0" w:space="0" w:color="auto"/>
      </w:divBdr>
    </w:div>
    <w:div w:id="130026303">
      <w:bodyDiv w:val="1"/>
      <w:marLeft w:val="0"/>
      <w:marRight w:val="0"/>
      <w:marTop w:val="0"/>
      <w:marBottom w:val="0"/>
      <w:divBdr>
        <w:top w:val="none" w:sz="0" w:space="0" w:color="auto"/>
        <w:left w:val="none" w:sz="0" w:space="0" w:color="auto"/>
        <w:bottom w:val="none" w:sz="0" w:space="0" w:color="auto"/>
        <w:right w:val="none" w:sz="0" w:space="0" w:color="auto"/>
      </w:divBdr>
    </w:div>
    <w:div w:id="164631411">
      <w:bodyDiv w:val="1"/>
      <w:marLeft w:val="0"/>
      <w:marRight w:val="0"/>
      <w:marTop w:val="0"/>
      <w:marBottom w:val="0"/>
      <w:divBdr>
        <w:top w:val="none" w:sz="0" w:space="0" w:color="auto"/>
        <w:left w:val="none" w:sz="0" w:space="0" w:color="auto"/>
        <w:bottom w:val="none" w:sz="0" w:space="0" w:color="auto"/>
        <w:right w:val="none" w:sz="0" w:space="0" w:color="auto"/>
      </w:divBdr>
    </w:div>
    <w:div w:id="242419001">
      <w:bodyDiv w:val="1"/>
      <w:marLeft w:val="0"/>
      <w:marRight w:val="0"/>
      <w:marTop w:val="0"/>
      <w:marBottom w:val="0"/>
      <w:divBdr>
        <w:top w:val="none" w:sz="0" w:space="0" w:color="auto"/>
        <w:left w:val="none" w:sz="0" w:space="0" w:color="auto"/>
        <w:bottom w:val="none" w:sz="0" w:space="0" w:color="auto"/>
        <w:right w:val="none" w:sz="0" w:space="0" w:color="auto"/>
      </w:divBdr>
    </w:div>
    <w:div w:id="395083632">
      <w:bodyDiv w:val="1"/>
      <w:marLeft w:val="0"/>
      <w:marRight w:val="0"/>
      <w:marTop w:val="0"/>
      <w:marBottom w:val="0"/>
      <w:divBdr>
        <w:top w:val="none" w:sz="0" w:space="0" w:color="auto"/>
        <w:left w:val="none" w:sz="0" w:space="0" w:color="auto"/>
        <w:bottom w:val="none" w:sz="0" w:space="0" w:color="auto"/>
        <w:right w:val="none" w:sz="0" w:space="0" w:color="auto"/>
      </w:divBdr>
    </w:div>
    <w:div w:id="1347751801">
      <w:bodyDiv w:val="1"/>
      <w:marLeft w:val="0"/>
      <w:marRight w:val="0"/>
      <w:marTop w:val="0"/>
      <w:marBottom w:val="0"/>
      <w:divBdr>
        <w:top w:val="none" w:sz="0" w:space="0" w:color="auto"/>
        <w:left w:val="none" w:sz="0" w:space="0" w:color="auto"/>
        <w:bottom w:val="none" w:sz="0" w:space="0" w:color="auto"/>
        <w:right w:val="none" w:sz="0" w:space="0" w:color="auto"/>
      </w:divBdr>
    </w:div>
    <w:div w:id="19458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ysed.gov/special-education/special-education-quality-assurance-regional-offi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16845</CharactersWithSpaces>
  <SharedDoc>false</SharedDoc>
  <HLinks>
    <vt:vector size="18" baseType="variant">
      <vt:variant>
        <vt:i4>131104</vt:i4>
      </vt:variant>
      <vt:variant>
        <vt:i4>12</vt:i4>
      </vt:variant>
      <vt:variant>
        <vt:i4>0</vt:i4>
      </vt:variant>
      <vt:variant>
        <vt:i4>5</vt:i4>
      </vt:variant>
      <vt:variant>
        <vt:lpwstr>mailto:datasupport@nysed.gov</vt:lpwstr>
      </vt:variant>
      <vt:variant>
        <vt:lpwstr/>
      </vt:variant>
      <vt:variant>
        <vt:i4>7602221</vt:i4>
      </vt:variant>
      <vt:variant>
        <vt:i4>6</vt:i4>
      </vt:variant>
      <vt:variant>
        <vt:i4>0</vt:i4>
      </vt:variant>
      <vt:variant>
        <vt:i4>5</vt:i4>
      </vt:variant>
      <vt:variant>
        <vt:lpwstr>http://www.nysed.gov/special-education/special-education-quality-assurance-regional-offices</vt:lpwstr>
      </vt:variant>
      <vt:variant>
        <vt:lpwstr/>
      </vt:variant>
      <vt:variant>
        <vt:i4>7602221</vt:i4>
      </vt:variant>
      <vt:variant>
        <vt:i4>0</vt:i4>
      </vt:variant>
      <vt:variant>
        <vt:i4>0</vt:i4>
      </vt:variant>
      <vt:variant>
        <vt:i4>5</vt:i4>
      </vt:variant>
      <vt:variant>
        <vt:lpwstr>http://www.nysed.gov/special-education/special-education-quality-assurance-regional-offices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2023-06-23T18:53:00Z</dcterms:created>
  <dcterms:modified xsi:type="dcterms:W3CDTF">2023-06-23T18:55:00Z</dcterms:modified>
</cp:coreProperties>
</file>